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spacing w:line="560" w:lineRule="exact"/>
        <w:jc w:val="center"/>
        <w:rPr>
          <w:rFonts w:hint="eastAsia" w:ascii="方正小标宋_GBK" w:hAnsi="方正小标宋_GBK" w:eastAsia="方正小标宋_GBK" w:cs="方正小标宋_GBK"/>
          <w:b w:val="0"/>
          <w:bCs w:val="0"/>
          <w:strike w:val="0"/>
          <w:dstrike w:val="0"/>
          <w:color w:val="auto"/>
          <w:sz w:val="40"/>
          <w:szCs w:val="40"/>
          <w:highlight w:val="none"/>
          <w:lang w:eastAsia="zh-CN"/>
        </w:rPr>
      </w:pPr>
      <w:bookmarkStart w:id="0" w:name="_GoBack"/>
      <w:bookmarkEnd w:id="0"/>
      <w:r>
        <w:rPr>
          <w:rFonts w:hint="eastAsia" w:ascii="方正小标宋_GBK" w:hAnsi="方正小标宋_GBK" w:eastAsia="方正小标宋_GBK" w:cs="方正小标宋_GBK"/>
          <w:b w:val="0"/>
          <w:bCs w:val="0"/>
          <w:strike w:val="0"/>
          <w:dstrike w:val="0"/>
          <w:color w:val="auto"/>
          <w:sz w:val="40"/>
          <w:szCs w:val="40"/>
          <w:highlight w:val="none"/>
          <w:lang w:eastAsia="zh-CN"/>
        </w:rPr>
        <w:t>非银行支付机构终止审批</w:t>
      </w:r>
    </w:p>
    <w:p>
      <w:pPr>
        <w:pStyle w:val="3"/>
        <w:spacing w:line="560" w:lineRule="exact"/>
        <w:jc w:val="both"/>
        <w:rPr>
          <w:rFonts w:hint="eastAsia" w:ascii="黑体" w:hAnsi="黑体" w:eastAsia="黑体" w:cs="黑体"/>
          <w:b w:val="0"/>
          <w:bCs w:val="0"/>
          <w:strike w:val="0"/>
          <w:dstrike w:val="0"/>
          <w:color w:val="auto"/>
          <w:sz w:val="32"/>
          <w:szCs w:val="32"/>
          <w:highlight w:val="none"/>
          <w:lang w:val="en-US" w:eastAsia="zh-CN"/>
        </w:rPr>
      </w:pP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行政许可事项</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sz w:val="32"/>
          <w:szCs w:val="32"/>
          <w:lang w:val="en-US"/>
        </w:rPr>
        <w:t>非银行支付机构</w:t>
      </w:r>
      <w:r>
        <w:rPr>
          <w:rFonts w:hint="eastAsia" w:ascii="仿宋_GB2312" w:hAnsi="仿宋_GB2312" w:eastAsia="仿宋_GB2312" w:cs="仿宋_GB2312"/>
          <w:strike w:val="0"/>
          <w:dstrike w:val="0"/>
          <w:sz w:val="32"/>
          <w:szCs w:val="32"/>
          <w:lang w:val="en-US" w:eastAsia="zh-CN"/>
        </w:rPr>
        <w:t>终止</w:t>
      </w:r>
      <w:r>
        <w:rPr>
          <w:rFonts w:hint="eastAsia" w:ascii="仿宋_GB2312" w:hAnsi="仿宋_GB2312" w:eastAsia="仿宋_GB2312" w:cs="仿宋_GB2312"/>
          <w:strike w:val="0"/>
          <w:dstrike w:val="0"/>
          <w:sz w:val="32"/>
          <w:szCs w:val="32"/>
          <w:lang w:val="en-US"/>
        </w:rPr>
        <w:t>审批</w:t>
      </w:r>
      <w:r>
        <w:rPr>
          <w:rFonts w:hint="eastAsia" w:ascii="仿宋_GB2312" w:hAnsi="仿宋_GB2312" w:eastAsia="仿宋_GB2312" w:cs="仿宋_GB2312"/>
          <w:strike w:val="0"/>
          <w:dstrike w:val="0"/>
          <w:sz w:val="32"/>
          <w:szCs w:val="32"/>
          <w:lang w:val="en-US" w:eastAsia="zh-CN"/>
        </w:rPr>
        <w:t>。</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适用范围</w:t>
      </w:r>
    </w:p>
    <w:p>
      <w:pPr>
        <w:pStyle w:val="5"/>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本指南</w:t>
      </w:r>
      <w:r>
        <w:rPr>
          <w:rFonts w:hint="eastAsia" w:ascii="仿宋_GB2312" w:hAnsi="仿宋_GB2312" w:eastAsia="仿宋_GB2312" w:cs="仿宋_GB2312"/>
          <w:sz w:val="32"/>
          <w:szCs w:val="32"/>
          <w:highlight w:val="none"/>
        </w:rPr>
        <w:t>适用于</w:t>
      </w:r>
      <w:r>
        <w:rPr>
          <w:rFonts w:hint="eastAsia" w:ascii="仿宋_GB2312" w:hAnsi="仿宋_GB2312" w:eastAsia="仿宋_GB2312" w:cs="仿宋_GB2312"/>
          <w:sz w:val="32"/>
          <w:szCs w:val="32"/>
          <w:lang w:eastAsia="zh-CN"/>
        </w:rPr>
        <w:t>住所所在地</w:t>
      </w:r>
      <w:r>
        <w:rPr>
          <w:rFonts w:hint="eastAsia" w:ascii="仿宋_GB2312" w:hAnsi="仿宋_GB2312" w:eastAsia="仿宋_GB2312" w:cs="仿宋_GB2312"/>
          <w:sz w:val="32"/>
          <w:szCs w:val="32"/>
          <w:highlight w:val="none"/>
          <w:lang w:eastAsia="zh-CN"/>
        </w:rPr>
        <w:t>位于广西壮族自治区</w:t>
      </w:r>
      <w:r>
        <w:rPr>
          <w:rFonts w:hint="eastAsia" w:ascii="仿宋_GB2312" w:hAnsi="仿宋_GB2312" w:eastAsia="仿宋_GB2312" w:cs="仿宋_GB2312"/>
          <w:sz w:val="32"/>
          <w:szCs w:val="32"/>
          <w:highlight w:val="none"/>
        </w:rPr>
        <w:t>内</w:t>
      </w:r>
      <w:r>
        <w:rPr>
          <w:rFonts w:hint="eastAsia" w:ascii="仿宋_GB2312" w:hAnsi="仿宋_GB2312" w:eastAsia="仿宋_GB2312" w:cs="仿宋_GB2312"/>
          <w:sz w:val="32"/>
          <w:szCs w:val="32"/>
          <w:highlight w:val="none"/>
          <w:lang w:eastAsia="zh-CN"/>
        </w:rPr>
        <w:t>的非银行支付机构</w:t>
      </w:r>
      <w:r>
        <w:rPr>
          <w:rFonts w:hint="eastAsia" w:ascii="仿宋_GB2312" w:hAnsi="仿宋_GB2312" w:eastAsia="仿宋_GB2312" w:cs="仿宋_GB2312"/>
          <w:strike w:val="0"/>
          <w:dstrike w:val="0"/>
          <w:sz w:val="32"/>
          <w:szCs w:val="32"/>
          <w:lang w:val="en-US" w:eastAsia="zh-CN"/>
        </w:rPr>
        <w:t>终止支付业务</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申请受理</w:t>
      </w:r>
      <w:r>
        <w:rPr>
          <w:rFonts w:hint="eastAsia" w:ascii="仿宋_GB2312" w:hAnsi="仿宋_GB2312" w:eastAsia="仿宋_GB2312" w:cs="仿宋_GB2312"/>
          <w:sz w:val="32"/>
          <w:szCs w:val="32"/>
          <w:highlight w:val="none"/>
          <w:lang w:eastAsia="zh-CN"/>
        </w:rPr>
        <w:t>和初审办理。</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审查类型</w:t>
      </w:r>
    </w:p>
    <w:p>
      <w:pPr>
        <w:pStyle w:val="5"/>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前审后批</w:t>
      </w:r>
      <w:r>
        <w:rPr>
          <w:rFonts w:hint="eastAsia" w:ascii="仿宋_GB2312" w:hAnsi="仿宋_GB2312" w:eastAsia="仿宋_GB2312" w:cs="仿宋_GB2312"/>
          <w:color w:val="auto"/>
          <w:sz w:val="32"/>
          <w:szCs w:val="32"/>
          <w:lang w:eastAsia="zh-CN"/>
        </w:rPr>
        <w:t>。</w:t>
      </w:r>
    </w:p>
    <w:p>
      <w:pPr>
        <w:numPr>
          <w:ilvl w:val="0"/>
          <w:numId w:val="1"/>
        </w:numPr>
        <w:wordWrap/>
        <w:spacing w:beforeLines="0" w:afterLines="0" w:line="560" w:lineRule="exact"/>
        <w:ind w:firstLine="640" w:firstLineChars="200"/>
        <w:rPr>
          <w:rFonts w:hint="eastAsia" w:ascii="黑体" w:hAnsi="黑体" w:eastAsia="黑体" w:cs="黑体"/>
          <w:bCs w:val="0"/>
          <w:sz w:val="32"/>
          <w:szCs w:val="32"/>
        </w:rPr>
      </w:pPr>
      <w:r>
        <w:rPr>
          <w:rFonts w:hint="eastAsia" w:ascii="黑体" w:hAnsi="黑体" w:eastAsia="黑体" w:cs="黑体"/>
          <w:bCs/>
          <w:sz w:val="32"/>
          <w:szCs w:val="32"/>
        </w:rPr>
        <w:t>设定</w:t>
      </w:r>
      <w:r>
        <w:rPr>
          <w:rFonts w:hint="eastAsia" w:ascii="黑体" w:hAnsi="黑体" w:eastAsia="黑体" w:cs="黑体"/>
          <w:bCs/>
          <w:sz w:val="32"/>
          <w:szCs w:val="32"/>
          <w:lang w:eastAsia="zh-CN"/>
        </w:rPr>
        <w:t>、实施及监管</w:t>
      </w:r>
      <w:r>
        <w:rPr>
          <w:rFonts w:hint="eastAsia" w:ascii="黑体" w:hAnsi="黑体" w:eastAsia="黑体" w:cs="黑体"/>
          <w:bCs/>
          <w:sz w:val="32"/>
          <w:szCs w:val="32"/>
        </w:rPr>
        <w:t>依据</w:t>
      </w:r>
    </w:p>
    <w:p>
      <w:pPr>
        <w:wordWrap/>
        <w:spacing w:beforeLines="0" w:afterLines="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《中华人民共和国中国人民银行法》</w:t>
      </w:r>
      <w:r>
        <w:rPr>
          <w:rFonts w:hint="eastAsia" w:ascii="仿宋_GB2312" w:hAnsi="仿宋_GB2312" w:eastAsia="仿宋_GB2312" w:cs="仿宋_GB2312"/>
          <w:sz w:val="32"/>
          <w:szCs w:val="32"/>
          <w:lang w:eastAsia="zh-CN"/>
        </w:rPr>
        <w:t>；</w:t>
      </w:r>
    </w:p>
    <w:p>
      <w:pPr>
        <w:wordWrap/>
        <w:spacing w:beforeLines="0" w:afterLines="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（二）《中华人民共和国行政许可法》</w:t>
      </w:r>
      <w:r>
        <w:rPr>
          <w:rFonts w:hint="eastAsia" w:ascii="仿宋_GB2312" w:hAnsi="仿宋_GB2312" w:eastAsia="仿宋_GB2312" w:cs="仿宋_GB2312"/>
          <w:sz w:val="32"/>
          <w:szCs w:val="32"/>
          <w:lang w:eastAsia="zh-CN"/>
        </w:rPr>
        <w:t>；</w:t>
      </w:r>
    </w:p>
    <w:p>
      <w:pPr>
        <w:wordWrap/>
        <w:spacing w:beforeLines="0" w:afterLines="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《非银行支付机构监督管理条例》（国务院令〔2023〕768</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wordWrap/>
        <w:spacing w:beforeLines="0" w:afterLines="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非银行支付机构监督管理条例实施细则》（中国人民银行</w:t>
      </w:r>
      <w:r>
        <w:rPr>
          <w:rFonts w:hint="eastAsia" w:ascii="仿宋_GB2312" w:hAnsi="仿宋_GB2312" w:eastAsia="仿宋_GB2312" w:cs="仿宋_GB2312"/>
          <w:sz w:val="32"/>
          <w:szCs w:val="32"/>
          <w:lang w:eastAsia="zh-CN"/>
        </w:rPr>
        <w:t>令</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lang w:eastAsia="zh-CN"/>
        </w:rPr>
        <w:t>发</w:t>
      </w:r>
      <w:r>
        <w:rPr>
          <w:rFonts w:hint="eastAsia" w:ascii="仿宋_GB2312" w:hAnsi="仿宋_GB2312" w:eastAsia="仿宋_GB2312" w:cs="仿宋_GB2312"/>
          <w:sz w:val="32"/>
          <w:szCs w:val="32"/>
        </w:rPr>
        <w:t>布）</w:t>
      </w:r>
      <w:r>
        <w:rPr>
          <w:rFonts w:hint="eastAsia" w:ascii="仿宋_GB2312" w:hAnsi="仿宋_GB2312" w:eastAsia="仿宋_GB2312" w:cs="仿宋_GB2312"/>
          <w:sz w:val="32"/>
          <w:szCs w:val="32"/>
          <w:lang w:eastAsia="zh-CN"/>
        </w:rPr>
        <w:t>；</w:t>
      </w:r>
    </w:p>
    <w:p>
      <w:pPr>
        <w:pStyle w:val="5"/>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《中国人民银行行政许可实施办法》（中国人民银行令〔2020〕第1号发布）</w:t>
      </w:r>
      <w:r>
        <w:rPr>
          <w:rFonts w:hint="eastAsia" w:ascii="仿宋_GB2312" w:hAnsi="仿宋_GB2312" w:eastAsia="仿宋_GB2312" w:cs="仿宋_GB2312"/>
          <w:sz w:val="32"/>
          <w:szCs w:val="32"/>
          <w:lang w:val="en-US" w:eastAsia="zh-CN"/>
        </w:rPr>
        <w:t>。</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受理机构</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val="en-US" w:eastAsia="zh-CN"/>
        </w:rPr>
        <w:t>广西壮族自治区分行。</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审核机构</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rPr>
        <w:t>中国人民银行广西壮族自治区分行初审、中国人民银行复审。</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决定机构</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eastAsia="zh-CN"/>
        </w:rPr>
        <w:t>。</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数量限制</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无数量限制。</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申请材料</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（一）书面申请，载明公司基本情况、支付业务开展情况、拟终止支付业务类型和终止原因等。</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（二）营业执照（副本）复印件和支付业务许可证复印件。</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（三）股东会或者其他有权决定机构同意申请人拟终止支付业务的决议文件。</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（四）支付业务终止方案</w:t>
      </w:r>
      <w:r>
        <w:rPr>
          <w:rFonts w:hint="eastAsia" w:ascii="仿宋_GB2312" w:hAnsi="仿宋_GB2312" w:eastAsia="仿宋_GB2312" w:cs="仿宋_GB2312"/>
          <w:b w:val="0"/>
          <w:bCs w:val="0"/>
          <w:strike w:val="0"/>
          <w:dstrike w:val="0"/>
          <w:color w:val="auto"/>
          <w:sz w:val="32"/>
          <w:szCs w:val="32"/>
          <w:lang w:val="en-US" w:eastAsia="zh-CN"/>
        </w:rPr>
        <w:t>，包括</w:t>
      </w:r>
      <w:r>
        <w:rPr>
          <w:rFonts w:hint="default" w:ascii="仿宋_GB2312" w:hAnsi="仿宋_GB2312" w:eastAsia="仿宋_GB2312" w:cs="仿宋_GB2312"/>
          <w:b w:val="0"/>
          <w:bCs w:val="0"/>
          <w:strike w:val="0"/>
          <w:dstrike w:val="0"/>
          <w:color w:val="auto"/>
          <w:sz w:val="32"/>
          <w:szCs w:val="32"/>
          <w:lang w:val="en-US" w:eastAsia="zh-CN"/>
        </w:rPr>
        <w:t>：</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1.支付业务终止整体安排。</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2.支付业务的资金和信息承接方情况，以及申请人与承接方关联关系说明。</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3.支付业务终止公告内容和公告方式。</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4.用户合法权益保障方案，包含对用户知情权、隐私权和选择权的保护措施，明确告知用户终止支付业务的原因、停止受理用户委托支付业务的时间、拟终止支付业务的后续安排；明确用户身份资料和交易记录的接收机构、移交安排、销毁方式和监督安排；明确备付金处理方案。</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5.支付业务信息处理方案，应当明确支付业务信息的接收机构、移交安排、销毁方式和监督安排。</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6.重大和突发事件应急预案。</w:t>
      </w:r>
    </w:p>
    <w:p>
      <w:pPr>
        <w:wordWrap/>
        <w:adjustRightInd/>
        <w:snapToGrid/>
        <w:spacing w:beforeLines="0" w:afterLines="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7.与承接方签订的支付业务信息、用户身份资料和交易记录移交协议，备付金承接协议。</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申请接收方式</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广西壮族自治区分行</w:t>
      </w:r>
      <w:r>
        <w:rPr>
          <w:rFonts w:hint="eastAsia" w:ascii="仿宋_GB2312" w:hAnsi="仿宋_GB2312" w:eastAsia="仿宋_GB2312" w:cs="仿宋_GB2312"/>
          <w:sz w:val="32"/>
          <w:szCs w:val="32"/>
        </w:rPr>
        <w:t>支付结算处</w:t>
      </w:r>
      <w:r>
        <w:rPr>
          <w:rFonts w:hint="eastAsia" w:ascii="仿宋_GB2312" w:hAnsi="仿宋_GB2312" w:eastAsia="仿宋_GB2312" w:cs="仿宋_GB2312"/>
          <w:sz w:val="32"/>
          <w:szCs w:val="32"/>
          <w:lang w:eastAsia="zh-CN"/>
        </w:rPr>
        <w:t>当面接收</w:t>
      </w:r>
      <w:r>
        <w:rPr>
          <w:rFonts w:hint="eastAsia" w:ascii="仿宋_GB2312" w:hAnsi="仿宋_GB2312" w:eastAsia="仿宋_GB2312" w:cs="仿宋_GB2312"/>
          <w:sz w:val="32"/>
          <w:szCs w:val="32"/>
        </w:rPr>
        <w:t>。</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办理基本流程和办理方式</w:t>
      </w:r>
    </w:p>
    <w:p>
      <w:pPr>
        <w:pStyle w:val="5"/>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auto"/>
          <w:sz w:val="32"/>
          <w:szCs w:val="32"/>
        </w:rPr>
        <w:t>（一）接收申请材料</w:t>
      </w:r>
      <w:r>
        <w:rPr>
          <w:rFonts w:hint="eastAsia" w:ascii="楷体_GB2312" w:hAnsi="楷体_GB2312" w:eastAsia="楷体_GB2312" w:cs="楷体_GB2312"/>
          <w:color w:val="auto"/>
          <w:sz w:val="32"/>
          <w:szCs w:val="32"/>
          <w:lang w:eastAsia="zh-CN"/>
        </w:rPr>
        <w:t>。</w:t>
      </w:r>
    </w:p>
    <w:p>
      <w:pPr>
        <w:pStyle w:val="5"/>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1.中国人民银行</w:t>
      </w:r>
      <w:r>
        <w:rPr>
          <w:rFonts w:hint="eastAsia" w:ascii="仿宋_GB2312" w:hAnsi="仿宋_GB2312" w:eastAsia="仿宋_GB2312" w:cs="仿宋_GB2312"/>
          <w:color w:val="auto"/>
          <w:sz w:val="32"/>
          <w:szCs w:val="32"/>
          <w:lang w:val="en-US" w:eastAsia="zh-CN"/>
        </w:rPr>
        <w:t>广西壮族自治区分行</w:t>
      </w:r>
      <w:r>
        <w:rPr>
          <w:rFonts w:hint="eastAsia" w:ascii="仿宋_GB2312" w:hAnsi="仿宋_GB2312" w:eastAsia="仿宋_GB2312" w:cs="仿宋_GB2312"/>
          <w:color w:val="auto"/>
          <w:sz w:val="32"/>
          <w:szCs w:val="32"/>
        </w:rPr>
        <w:t>接收申请人提交的申请材料，并清点材料数量。</w:t>
      </w:r>
    </w:p>
    <w:p>
      <w:pPr>
        <w:pStyle w:val="5"/>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2.清点无误的，中国人民银行</w:t>
      </w:r>
      <w:r>
        <w:rPr>
          <w:rFonts w:hint="eastAsia" w:ascii="仿宋_GB2312" w:hAnsi="仿宋_GB2312" w:eastAsia="仿宋_GB2312" w:cs="仿宋_GB2312"/>
          <w:color w:val="auto"/>
          <w:sz w:val="32"/>
          <w:szCs w:val="32"/>
          <w:lang w:eastAsia="zh-CN"/>
        </w:rPr>
        <w:t>广西壮族自治区分行</w:t>
      </w:r>
      <w:r>
        <w:rPr>
          <w:rFonts w:hint="eastAsia" w:ascii="仿宋_GB2312" w:hAnsi="仿宋_GB2312" w:eastAsia="仿宋_GB2312" w:cs="仿宋_GB2312"/>
          <w:color w:val="auto"/>
          <w:sz w:val="32"/>
          <w:szCs w:val="32"/>
        </w:rPr>
        <w:t>向申请人出具材料接收凭证。</w:t>
      </w:r>
    </w:p>
    <w:p>
      <w:pPr>
        <w:pStyle w:val="5"/>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auto"/>
          <w:sz w:val="32"/>
          <w:szCs w:val="32"/>
        </w:rPr>
        <w:t>（二）出具受理意见</w:t>
      </w:r>
      <w:r>
        <w:rPr>
          <w:rFonts w:hint="eastAsia" w:ascii="楷体_GB2312" w:hAnsi="楷体_GB2312" w:eastAsia="楷体_GB2312" w:cs="楷体_GB2312"/>
          <w:color w:val="auto"/>
          <w:sz w:val="32"/>
          <w:szCs w:val="32"/>
          <w:lang w:eastAsia="zh-CN"/>
        </w:rPr>
        <w:t>。</w:t>
      </w:r>
    </w:p>
    <w:p>
      <w:pPr>
        <w:pStyle w:val="5"/>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中国人民银行</w:t>
      </w:r>
      <w:r>
        <w:rPr>
          <w:rFonts w:hint="eastAsia" w:ascii="仿宋_GB2312" w:hAnsi="仿宋_GB2312" w:eastAsia="仿宋_GB2312" w:cs="仿宋_GB2312"/>
          <w:color w:val="auto"/>
          <w:sz w:val="32"/>
          <w:szCs w:val="32"/>
          <w:lang w:val="en-US" w:eastAsia="zh-CN"/>
        </w:rPr>
        <w:t>广西壮族自治区分行</w:t>
      </w:r>
      <w:r>
        <w:rPr>
          <w:rFonts w:hint="eastAsia" w:ascii="仿宋_GB2312" w:hAnsi="仿宋_GB2312" w:eastAsia="仿宋_GB2312" w:cs="仿宋_GB2312"/>
          <w:color w:val="auto"/>
          <w:sz w:val="32"/>
          <w:szCs w:val="32"/>
        </w:rPr>
        <w:t>对申请材料进行初步审核，视以下不同情况出具受理意见：</w:t>
      </w:r>
    </w:p>
    <w:p>
      <w:pPr>
        <w:pStyle w:val="5"/>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对于申请材料不齐全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不符合法定形式或者存在错误不能当场更正的，中国人民银行</w:t>
      </w:r>
      <w:r>
        <w:rPr>
          <w:rFonts w:hint="eastAsia" w:ascii="仿宋_GB2312" w:hAnsi="仿宋_GB2312" w:eastAsia="仿宋_GB2312" w:cs="仿宋_GB2312"/>
          <w:color w:val="auto"/>
          <w:sz w:val="32"/>
          <w:szCs w:val="32"/>
          <w:lang w:eastAsia="zh-CN"/>
        </w:rPr>
        <w:t>广西壮族自治区分行</w:t>
      </w:r>
      <w:r>
        <w:rPr>
          <w:rFonts w:hint="eastAsia" w:ascii="仿宋_GB2312" w:hAnsi="仿宋_GB2312" w:eastAsia="仿宋_GB2312" w:cs="仿宋_GB2312"/>
          <w:color w:val="auto"/>
          <w:sz w:val="32"/>
          <w:szCs w:val="32"/>
        </w:rPr>
        <w:t>当场或者在收到申请材料之日起5个工作日内一次告知申请人需要补正的全部内容，出具加盖本行行政许可专用章并载明日期的补正告知书;逾期不告知的,自收到申请材料之日起即为受理。申请人拒不补正，或者自补正告知书送达之日起10个工作日内无正当理由未补正的，视为放弃行政许可申请，中国人民银行</w:t>
      </w:r>
      <w:r>
        <w:rPr>
          <w:rFonts w:hint="eastAsia" w:ascii="仿宋_GB2312" w:hAnsi="仿宋_GB2312" w:eastAsia="仿宋_GB2312" w:cs="仿宋_GB2312"/>
          <w:color w:val="auto"/>
          <w:sz w:val="32"/>
          <w:szCs w:val="32"/>
          <w:lang w:eastAsia="zh-CN"/>
        </w:rPr>
        <w:t>广西壮族自治区分行</w:t>
      </w:r>
      <w:r>
        <w:rPr>
          <w:rFonts w:hint="eastAsia" w:ascii="仿宋_GB2312" w:hAnsi="仿宋_GB2312" w:eastAsia="仿宋_GB2312" w:cs="仿宋_GB2312"/>
          <w:color w:val="auto"/>
          <w:sz w:val="32"/>
          <w:szCs w:val="32"/>
        </w:rPr>
        <w:t>退回已经收到的全部申请材料</w:t>
      </w:r>
      <w:r>
        <w:rPr>
          <w:rFonts w:hint="eastAsia" w:ascii="仿宋_GB2312" w:hAnsi="仿宋_GB2312" w:eastAsia="仿宋_GB2312" w:cs="仿宋_GB2312"/>
          <w:color w:val="auto"/>
          <w:sz w:val="32"/>
          <w:szCs w:val="32"/>
          <w:lang w:eastAsia="zh-CN"/>
        </w:rPr>
        <w:t>。</w:t>
      </w:r>
    </w:p>
    <w:p>
      <w:pPr>
        <w:pStyle w:val="5"/>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对于申请人</w:t>
      </w:r>
      <w:r>
        <w:rPr>
          <w:rFonts w:hint="eastAsia" w:ascii="仿宋_GB2312" w:hAnsi="仿宋_GB2312" w:eastAsia="仿宋_GB2312" w:cs="仿宋_GB2312"/>
          <w:color w:val="auto"/>
          <w:sz w:val="32"/>
          <w:szCs w:val="32"/>
          <w:u w:val="none"/>
          <w:lang w:eastAsia="zh-CN"/>
        </w:rPr>
        <w:t>申请事项不属于中国人民银行职权范围</w:t>
      </w:r>
      <w:r>
        <w:rPr>
          <w:rFonts w:hint="eastAsia" w:ascii="仿宋_GB2312" w:hAnsi="仿宋_GB2312" w:eastAsia="仿宋_GB2312" w:cs="仿宋_GB2312"/>
          <w:color w:val="auto"/>
          <w:sz w:val="32"/>
          <w:szCs w:val="32"/>
          <w:u w:val="none"/>
          <w:lang w:eastAsia="zh-CN"/>
        </w:rPr>
        <w:t>，或者</w:t>
      </w:r>
      <w:r>
        <w:rPr>
          <w:rFonts w:hint="eastAsia" w:ascii="仿宋_GB2312" w:hAnsi="仿宋_GB2312" w:eastAsia="仿宋_GB2312" w:cs="仿宋_GB2312"/>
          <w:color w:val="auto"/>
          <w:sz w:val="32"/>
          <w:szCs w:val="32"/>
          <w:lang w:eastAsia="zh-CN"/>
        </w:rPr>
        <w:t>提供的补正材料不齐全、不符合法定形式，补正后仍存在不符合受理条件的其他情形</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eastAsia="zh-CN"/>
        </w:rPr>
        <w:t>，中国人民银行广西壮族自治区分行不予受理，并出具加盖本行行政许可专用章的不予受理决定书，说明不予受理的理由和依据，退回已经收到的全部申请材料。</w:t>
      </w:r>
    </w:p>
    <w:p>
      <w:pPr>
        <w:pStyle w:val="5"/>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对于</w:t>
      </w:r>
      <w:r>
        <w:rPr>
          <w:rFonts w:hint="eastAsia" w:ascii="仿宋_GB2312" w:hAnsi="仿宋_GB2312" w:eastAsia="仿宋_GB2312" w:cs="仿宋_GB2312"/>
          <w:sz w:val="32"/>
          <w:szCs w:val="32"/>
          <w:lang w:eastAsia="zh-CN"/>
        </w:rPr>
        <w:t>申请事项属于中国人民银行职权范围，</w:t>
      </w:r>
      <w:r>
        <w:rPr>
          <w:rFonts w:hint="eastAsia" w:ascii="仿宋_GB2312" w:hAnsi="仿宋_GB2312" w:eastAsia="仿宋_GB2312" w:cs="仿宋_GB2312"/>
          <w:sz w:val="32"/>
          <w:szCs w:val="32"/>
        </w:rPr>
        <w:t>申请材料齐全、符合法定形式的，或者申请人按要求提交全部补正申请材料</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中国人民银行广西壮族自治区分行于收到申请材料或者全部补正申请材料之日起5个工作日内，出具加盖本行行政许可专用章并注明受理日期的行政许可受理通知书。</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对于受理、不予受理或者要求补正申请材料的通知书，</w:t>
      </w:r>
      <w:r>
        <w:rPr>
          <w:rFonts w:hint="eastAsia" w:ascii="仿宋_GB2312" w:hAnsi="仿宋_GB2312" w:eastAsia="仿宋_GB2312" w:cs="仿宋_GB2312"/>
          <w:color w:val="auto"/>
          <w:sz w:val="32"/>
          <w:szCs w:val="32"/>
          <w:lang w:eastAsia="zh-CN"/>
        </w:rPr>
        <w:t>除即时告知的外，</w:t>
      </w:r>
      <w:r>
        <w:rPr>
          <w:rFonts w:hint="eastAsia" w:ascii="仿宋_GB2312" w:hAnsi="仿宋_GB2312" w:eastAsia="仿宋_GB2312" w:cs="仿宋_GB2312"/>
          <w:sz w:val="32"/>
          <w:szCs w:val="32"/>
          <w:lang w:eastAsia="zh-CN"/>
        </w:rPr>
        <w:t>中国人民银行广西壮族自治区分行</w:t>
      </w:r>
      <w:r>
        <w:rPr>
          <w:rFonts w:hint="eastAsia" w:ascii="仿宋_GB2312" w:hAnsi="仿宋_GB2312" w:eastAsia="仿宋_GB2312" w:cs="仿宋_GB2312"/>
          <w:sz w:val="32"/>
          <w:szCs w:val="32"/>
        </w:rPr>
        <w:t>自相关文书作出之日起5个工作日内送达当事人。</w:t>
      </w:r>
    </w:p>
    <w:p>
      <w:pPr>
        <w:pStyle w:val="5"/>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中国人民银行</w:t>
      </w:r>
      <w:r>
        <w:rPr>
          <w:rFonts w:hint="eastAsia" w:ascii="楷体_GB2312" w:hAnsi="楷体_GB2312" w:eastAsia="楷体_GB2312" w:cs="楷体_GB2312"/>
          <w:color w:val="auto"/>
          <w:sz w:val="32"/>
          <w:szCs w:val="32"/>
          <w:lang w:eastAsia="zh-CN"/>
        </w:rPr>
        <w:t>广西壮族自治区分行初审。</w:t>
      </w:r>
    </w:p>
    <w:p>
      <w:pPr>
        <w:pStyle w:val="5"/>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640" w:firstLineChars="200"/>
        <w:jc w:val="both"/>
        <w:textAlignment w:val="auto"/>
        <w:rPr>
          <w:rFonts w:hint="eastAsia"/>
          <w:sz w:val="32"/>
          <w:szCs w:val="32"/>
          <w:lang w:eastAsia="zh-CN"/>
        </w:rPr>
      </w:pPr>
      <w:r>
        <w:rPr>
          <w:rFonts w:hint="eastAsia" w:ascii="仿宋_GB2312" w:hAnsi="仿宋_GB2312" w:eastAsia="仿宋_GB2312" w:cs="仿宋_GB2312"/>
          <w:color w:val="auto"/>
          <w:sz w:val="32"/>
          <w:szCs w:val="32"/>
          <w:lang w:val="en-US" w:eastAsia="zh-CN"/>
        </w:rPr>
        <w:t>中国人民银行广西壮族自治区分行自受理申请之日对申请材料进行初步审查，可以通过实地调查、面谈、征求有关部门意见等方式对申请材料进行核实。审查过程中，若发现申请人提交的申请材料存在实质性问题，可能影响作出行政许可决定的，中国人民银行广西壮族自治区分行可以要求申请人限期对申请材料进一步修改、完善，或者解释说明。申请人在合理期限内拒不修改、完善、解释说明，或者修改、完善、解释说明后仍存在实质性问题的，中国人民银行广西壮族自治区分行继续审查，不利后果由申请人承担。中国人民银行广西壮族自治区分行</w:t>
      </w:r>
      <w:r>
        <w:rPr>
          <w:rFonts w:hint="eastAsia" w:ascii="仿宋_GB2312" w:hAnsi="仿宋_GB2312" w:eastAsia="仿宋_GB2312" w:cs="仿宋_GB2312"/>
          <w:color w:val="auto"/>
          <w:sz w:val="32"/>
          <w:szCs w:val="32"/>
        </w:rPr>
        <w:t>结合材料审核</w:t>
      </w:r>
      <w:r>
        <w:rPr>
          <w:rFonts w:hint="eastAsia" w:ascii="仿宋_GB2312" w:hAnsi="仿宋_GB2312" w:eastAsia="仿宋_GB2312" w:cs="仿宋_GB2312"/>
          <w:color w:val="auto"/>
          <w:sz w:val="32"/>
          <w:szCs w:val="32"/>
          <w:lang w:eastAsia="zh-CN"/>
        </w:rPr>
        <w:t>等情况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将申请材料和初步审查意见报中国人民银行。</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办理时限</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中国人民银行</w:t>
      </w:r>
      <w:r>
        <w:rPr>
          <w:rFonts w:hint="eastAsia" w:ascii="仿宋_GB2312" w:hAnsi="仿宋_GB2312" w:eastAsia="仿宋_GB2312" w:cs="仿宋_GB2312"/>
          <w:color w:val="auto"/>
          <w:sz w:val="32"/>
          <w:szCs w:val="32"/>
          <w:lang w:eastAsia="zh-CN"/>
        </w:rPr>
        <w:t>广西壮族自治区分行</w:t>
      </w:r>
      <w:r>
        <w:rPr>
          <w:rFonts w:hint="eastAsia" w:ascii="仿宋_GB2312" w:hAnsi="仿宋_GB2312" w:eastAsia="仿宋_GB2312" w:cs="仿宋_GB2312"/>
          <w:color w:val="auto"/>
          <w:sz w:val="32"/>
          <w:szCs w:val="32"/>
          <w:lang w:val="en-US" w:eastAsia="zh-CN"/>
        </w:rPr>
        <w:t>自受理申请之日起20</w:t>
      </w:r>
      <w:r>
        <w:rPr>
          <w:rFonts w:hint="eastAsia" w:ascii="仿宋_GB2312" w:hAnsi="仿宋_GB2312" w:eastAsia="仿宋_GB2312" w:cs="仿宋_GB2312"/>
          <w:sz w:val="32"/>
          <w:szCs w:val="32"/>
        </w:rPr>
        <w:t>个工作</w:t>
      </w:r>
      <w:r>
        <w:rPr>
          <w:rFonts w:hint="eastAsia" w:ascii="仿宋_GB2312" w:hAnsi="仿宋_GB2312" w:eastAsia="仿宋_GB2312" w:cs="仿宋_GB2312"/>
          <w:color w:val="auto"/>
          <w:sz w:val="32"/>
          <w:szCs w:val="32"/>
          <w:lang w:val="en-US" w:eastAsia="zh-CN"/>
        </w:rPr>
        <w:t>日内初步审查完毕。中国人民银行自收到中国人民银行</w:t>
      </w:r>
      <w:r>
        <w:rPr>
          <w:rFonts w:hint="eastAsia" w:ascii="仿宋_GB2312" w:hAnsi="仿宋_GB2312" w:eastAsia="仿宋_GB2312" w:cs="仿宋_GB2312"/>
          <w:color w:val="auto"/>
          <w:sz w:val="32"/>
          <w:szCs w:val="32"/>
          <w:lang w:eastAsia="zh-CN"/>
        </w:rPr>
        <w:t>广西壮族自治区分行</w:t>
      </w:r>
      <w:r>
        <w:rPr>
          <w:rFonts w:hint="eastAsia" w:ascii="仿宋_GB2312" w:hAnsi="仿宋_GB2312" w:eastAsia="仿宋_GB2312" w:cs="仿宋_GB2312"/>
          <w:color w:val="auto"/>
          <w:sz w:val="32"/>
          <w:szCs w:val="32"/>
          <w:lang w:val="en-US" w:eastAsia="zh-CN"/>
        </w:rPr>
        <w:t>报送的申请材料和初步审查意见之日起20</w:t>
      </w:r>
      <w:r>
        <w:rPr>
          <w:rFonts w:hint="eastAsia" w:ascii="仿宋_GB2312" w:hAnsi="仿宋_GB2312" w:eastAsia="仿宋_GB2312" w:cs="仿宋_GB2312"/>
          <w:sz w:val="32"/>
          <w:szCs w:val="32"/>
        </w:rPr>
        <w:t>个工作</w:t>
      </w:r>
      <w:r>
        <w:rPr>
          <w:rFonts w:hint="eastAsia" w:ascii="仿宋_GB2312" w:hAnsi="仿宋_GB2312" w:eastAsia="仿宋_GB2312" w:cs="仿宋_GB2312"/>
          <w:color w:val="auto"/>
          <w:sz w:val="32"/>
          <w:szCs w:val="32"/>
          <w:lang w:val="en-US" w:eastAsia="zh-CN"/>
        </w:rPr>
        <w:t>日内，作出批准或者不予批准的决定。其中，《中国人民银行行政许可实施办法》（中国人民银行令〔2020〕第1号发布）第三十三条规定的相关程序不计入时限。</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审批结果和送达</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国人民银行根据审批结果作出行政许可决定，准予许可的，出具准予行政许可决定书并予以公告；不予许可的，出具不予行政许可决定书。中国人民银行广西壮族自治区分行根据行政许可决定将准予行政许可决定书或不予行政许可决定书送达申请人。</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收费依据及标准</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不收费。</w:t>
      </w:r>
    </w:p>
    <w:p>
      <w:pPr>
        <w:numPr>
          <w:ilvl w:val="0"/>
          <w:numId w:val="1"/>
        </w:numPr>
        <w:spacing w:beforeLines="0" w:afterLines="0" w:line="560" w:lineRule="exact"/>
        <w:ind w:firstLine="640" w:firstLineChars="200"/>
        <w:rPr>
          <w:rFonts w:hint="eastAsia" w:ascii="黑体" w:hAnsi="黑体" w:eastAsia="黑体"/>
          <w:sz w:val="32"/>
          <w:szCs w:val="32"/>
          <w:highlight w:val="none"/>
        </w:rPr>
      </w:pPr>
      <w:r>
        <w:rPr>
          <w:rFonts w:hint="eastAsia" w:ascii="黑体" w:hAnsi="黑体" w:eastAsia="黑体" w:cs="黑体"/>
          <w:color w:val="auto"/>
          <w:sz w:val="32"/>
          <w:szCs w:val="32"/>
          <w:highlight w:val="none"/>
        </w:rPr>
        <w:t>行政相对人权利和义务</w:t>
      </w:r>
    </w:p>
    <w:p>
      <w:pPr>
        <w:pStyle w:val="5"/>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楷体_GB2312" w:eastAsia="楷体_GB2312" w:cs="楷体_GB2312"/>
          <w:color w:val="auto"/>
          <w:sz w:val="32"/>
          <w:szCs w:val="32"/>
          <w:highlight w:val="none"/>
        </w:rPr>
        <w:t>（一）依据《中华人民共和国行政许可法》等，申请人依法享有以下权利</w:t>
      </w:r>
      <w:r>
        <w:rPr>
          <w:rFonts w:hint="eastAsia" w:ascii="楷体_GB2312" w:eastAsia="楷体_GB2312" w:cs="楷体_GB2312"/>
          <w:color w:val="auto"/>
          <w:sz w:val="32"/>
          <w:szCs w:val="32"/>
          <w:highlight w:val="none"/>
          <w:lang w:eastAsia="zh-CN"/>
        </w:rPr>
        <w:t>。</w:t>
      </w:r>
    </w:p>
    <w:p>
      <w:pPr>
        <w:pStyle w:val="5"/>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1.依法取得行政许可的平等权利。</w:t>
      </w:r>
    </w:p>
    <w:p>
      <w:pPr>
        <w:pStyle w:val="5"/>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2.依法申请行政复议和行政诉讼的权利。</w:t>
      </w:r>
    </w:p>
    <w:p>
      <w:pPr>
        <w:pStyle w:val="5"/>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楷体_GB2312" w:eastAsia="楷体_GB2312" w:cs="楷体_GB2312"/>
          <w:color w:val="auto"/>
          <w:sz w:val="32"/>
          <w:szCs w:val="32"/>
          <w:highlight w:val="none"/>
        </w:rPr>
        <w:t>（二）依据《中华人民共和国行政许可法》等，申请人依法履行以下义务</w:t>
      </w:r>
      <w:r>
        <w:rPr>
          <w:rFonts w:hint="eastAsia" w:ascii="楷体_GB2312" w:eastAsia="楷体_GB2312" w:cs="楷体_GB2312"/>
          <w:color w:val="auto"/>
          <w:sz w:val="32"/>
          <w:szCs w:val="32"/>
          <w:highlight w:val="none"/>
          <w:lang w:eastAsia="zh-CN"/>
        </w:rPr>
        <w:t>。</w:t>
      </w:r>
    </w:p>
    <w:p>
      <w:pPr>
        <w:pStyle w:val="5"/>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1.保证申请材料实质内容的真实、准确和完整，无虚假记载、误导性陈述或重大遗漏；</w:t>
      </w:r>
    </w:p>
    <w:p>
      <w:pPr>
        <w:pStyle w:val="5"/>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2.配合人民银行工作人员做好材料签收交接手续；</w:t>
      </w:r>
    </w:p>
    <w:p>
      <w:pPr>
        <w:pStyle w:val="5"/>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highlight w:val="none"/>
        </w:rPr>
      </w:pPr>
      <w:r>
        <w:rPr>
          <w:rFonts w:hint="eastAsia" w:ascii="仿宋_GB2312" w:eastAsia="仿宋_GB2312" w:cs="仿宋_GB2312"/>
          <w:color w:val="auto"/>
          <w:sz w:val="32"/>
          <w:szCs w:val="32"/>
          <w:highlight w:val="none"/>
        </w:rPr>
        <w:t>3.按要求及时补正申请材料。</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sz w:val="32"/>
          <w:szCs w:val="32"/>
        </w:rPr>
        <w:t>咨询</w:t>
      </w:r>
      <w:r>
        <w:rPr>
          <w:rFonts w:hint="eastAsia" w:ascii="黑体" w:hAnsi="黑体" w:eastAsia="黑体" w:cs="黑体"/>
          <w:sz w:val="32"/>
          <w:szCs w:val="32"/>
          <w:highlight w:val="none"/>
          <w:lang w:val="en-US" w:eastAsia="zh-CN"/>
        </w:rPr>
        <w:t>途径</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广西壮族自治区分行</w:t>
      </w:r>
      <w:r>
        <w:rPr>
          <w:rFonts w:hint="eastAsia" w:ascii="仿宋_GB2312" w:hAnsi="仿宋_GB2312" w:eastAsia="仿宋_GB2312" w:cs="仿宋_GB2312"/>
          <w:sz w:val="32"/>
          <w:szCs w:val="32"/>
        </w:rPr>
        <w:t>支付结算部门，联系电话：</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lang w:val="en-US" w:eastAsia="zh-CN"/>
        </w:rPr>
        <w:t>771-6111430</w:t>
      </w:r>
      <w:r>
        <w:rPr>
          <w:rFonts w:hint="eastAsia" w:ascii="仿宋_GB2312" w:hAnsi="仿宋_GB2312" w:eastAsia="仿宋_GB2312" w:cs="仿宋_GB2312"/>
          <w:sz w:val="32"/>
          <w:szCs w:val="32"/>
        </w:rPr>
        <w:t>。</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监督投诉渠道</w:t>
      </w:r>
    </w:p>
    <w:p>
      <w:pPr>
        <w:widowControl w:val="0"/>
        <w:numPr>
          <w:numId w:val="0"/>
        </w:numPr>
        <w:wordWrap/>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信函投诉：广西南宁市青秀区滨湖路58号中国人民银行广西壮族自治区分行，0771-6111709，邮编530028。</w:t>
      </w:r>
    </w:p>
    <w:p>
      <w:pPr>
        <w:numPr>
          <w:ilvl w:val="0"/>
          <w:numId w:val="1"/>
        </w:numPr>
        <w:wordWrap/>
        <w:adjustRightInd/>
        <w:snapToGrid/>
        <w:spacing w:beforeLines="0" w:afterLines="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办公地址和时间</w:t>
      </w:r>
    </w:p>
    <w:p>
      <w:pPr>
        <w:wordWrap/>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lang w:eastAsia="zh-CN"/>
        </w:rPr>
        <w:t>南宁市青秀区滨湖路</w:t>
      </w:r>
      <w:r>
        <w:rPr>
          <w:rFonts w:hint="eastAsia" w:ascii="仿宋_GB2312" w:hAnsi="仿宋_GB2312" w:eastAsia="仿宋_GB2312" w:cs="仿宋_GB2312"/>
          <w:sz w:val="32"/>
          <w:szCs w:val="32"/>
          <w:lang w:val="en-US" w:eastAsia="zh-CN"/>
        </w:rPr>
        <w:t>58号</w:t>
      </w:r>
      <w:r>
        <w:rPr>
          <w:rFonts w:hint="eastAsia" w:ascii="仿宋_GB2312" w:hAnsi="仿宋_GB2312" w:eastAsia="仿宋_GB2312" w:cs="仿宋_GB2312"/>
          <w:sz w:val="32"/>
          <w:szCs w:val="32"/>
          <w:lang w:eastAsia="zh-CN"/>
        </w:rPr>
        <w:t>。</w:t>
      </w:r>
    </w:p>
    <w:p>
      <w:pPr>
        <w:wordWrap/>
        <w:adjustRightInd/>
        <w:snapToGrid/>
        <w:spacing w:beforeLines="0" w:afterLines="0" w:line="560" w:lineRule="exact"/>
        <w:ind w:firstLine="640" w:firstLineChars="200"/>
        <w:textAlignment w:val="auto"/>
        <w:rPr>
          <w:sz w:val="32"/>
          <w:szCs w:val="32"/>
        </w:rPr>
      </w:pPr>
      <w:r>
        <w:rPr>
          <w:rFonts w:hint="eastAsia" w:ascii="仿宋_GB2312" w:hAnsi="仿宋_GB2312" w:eastAsia="仿宋_GB2312" w:cs="仿宋_GB2312"/>
          <w:sz w:val="32"/>
          <w:szCs w:val="32"/>
        </w:rPr>
        <w:t>办公时间：工作日，8:30-12:00，14:30-1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p>
    <w:p>
      <w:pPr>
        <w:spacing w:line="560" w:lineRule="exact"/>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Times New Roman"/>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4"/>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36075246">
    <w:nsid w:val="37CB5FEE"/>
    <w:multiLevelType w:val="singleLevel"/>
    <w:tmpl w:val="37CB5FEE"/>
    <w:lvl w:ilvl="0" w:tentative="1">
      <w:start w:val="1"/>
      <w:numFmt w:val="chineseCounting"/>
      <w:suff w:val="nothing"/>
      <w:lvlText w:val="%1、"/>
      <w:lvlJc w:val="left"/>
      <w:rPr>
        <w:rFonts w:hint="eastAsia"/>
      </w:rPr>
    </w:lvl>
  </w:abstractNum>
  <w:num w:numId="1">
    <w:abstractNumId w:val="9360752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7E266DF8"/>
    <w:rsid w:val="0007733C"/>
    <w:rsid w:val="00225A0D"/>
    <w:rsid w:val="00247180"/>
    <w:rsid w:val="00315283"/>
    <w:rsid w:val="004229ED"/>
    <w:rsid w:val="00426837"/>
    <w:rsid w:val="00486860"/>
    <w:rsid w:val="004E2679"/>
    <w:rsid w:val="00561FA7"/>
    <w:rsid w:val="00562A58"/>
    <w:rsid w:val="0063225A"/>
    <w:rsid w:val="006F4BF0"/>
    <w:rsid w:val="00825F9C"/>
    <w:rsid w:val="00A95503"/>
    <w:rsid w:val="00BB5136"/>
    <w:rsid w:val="00C753EF"/>
    <w:rsid w:val="00C865A4"/>
    <w:rsid w:val="00D24D99"/>
    <w:rsid w:val="00E3320D"/>
    <w:rsid w:val="00EB06A3"/>
    <w:rsid w:val="00ED0655"/>
    <w:rsid w:val="00EE05FE"/>
    <w:rsid w:val="0108339F"/>
    <w:rsid w:val="01151FEF"/>
    <w:rsid w:val="011B54BF"/>
    <w:rsid w:val="0139761A"/>
    <w:rsid w:val="01593833"/>
    <w:rsid w:val="015E396A"/>
    <w:rsid w:val="015E453D"/>
    <w:rsid w:val="01680307"/>
    <w:rsid w:val="01686436"/>
    <w:rsid w:val="016A0B1D"/>
    <w:rsid w:val="017161BC"/>
    <w:rsid w:val="01850D39"/>
    <w:rsid w:val="019409B0"/>
    <w:rsid w:val="01A97CE0"/>
    <w:rsid w:val="01AE6A23"/>
    <w:rsid w:val="01BB5E9B"/>
    <w:rsid w:val="01D26E30"/>
    <w:rsid w:val="01E11097"/>
    <w:rsid w:val="01F22D3C"/>
    <w:rsid w:val="02184F68"/>
    <w:rsid w:val="02312040"/>
    <w:rsid w:val="02326AC7"/>
    <w:rsid w:val="024D7321"/>
    <w:rsid w:val="02680E66"/>
    <w:rsid w:val="02693A15"/>
    <w:rsid w:val="027223B8"/>
    <w:rsid w:val="02907ACB"/>
    <w:rsid w:val="02955E19"/>
    <w:rsid w:val="029838FF"/>
    <w:rsid w:val="029E6C0F"/>
    <w:rsid w:val="029F2C81"/>
    <w:rsid w:val="02B066AB"/>
    <w:rsid w:val="02B073A1"/>
    <w:rsid w:val="02B621A5"/>
    <w:rsid w:val="02E46004"/>
    <w:rsid w:val="02F545F8"/>
    <w:rsid w:val="0319669B"/>
    <w:rsid w:val="031D30E6"/>
    <w:rsid w:val="031E1173"/>
    <w:rsid w:val="032A54DF"/>
    <w:rsid w:val="032F2C26"/>
    <w:rsid w:val="0362494C"/>
    <w:rsid w:val="039D73FE"/>
    <w:rsid w:val="03D37E12"/>
    <w:rsid w:val="040F2DF4"/>
    <w:rsid w:val="0412588F"/>
    <w:rsid w:val="041435FE"/>
    <w:rsid w:val="042D31DB"/>
    <w:rsid w:val="042D6773"/>
    <w:rsid w:val="048C0A33"/>
    <w:rsid w:val="048D5BEC"/>
    <w:rsid w:val="048F09DF"/>
    <w:rsid w:val="049523EB"/>
    <w:rsid w:val="04A87B2B"/>
    <w:rsid w:val="04B3236F"/>
    <w:rsid w:val="04B72D04"/>
    <w:rsid w:val="04D20503"/>
    <w:rsid w:val="053472E6"/>
    <w:rsid w:val="05486BA9"/>
    <w:rsid w:val="05550DA4"/>
    <w:rsid w:val="058004AF"/>
    <w:rsid w:val="05A164D8"/>
    <w:rsid w:val="05AB439D"/>
    <w:rsid w:val="05BC4358"/>
    <w:rsid w:val="05C356F6"/>
    <w:rsid w:val="05E745D3"/>
    <w:rsid w:val="05EE699F"/>
    <w:rsid w:val="06013F0D"/>
    <w:rsid w:val="06044E8D"/>
    <w:rsid w:val="06154828"/>
    <w:rsid w:val="06307967"/>
    <w:rsid w:val="063A2011"/>
    <w:rsid w:val="06535974"/>
    <w:rsid w:val="065F41A9"/>
    <w:rsid w:val="066A6C8B"/>
    <w:rsid w:val="067A2B37"/>
    <w:rsid w:val="067F3DBE"/>
    <w:rsid w:val="0686468F"/>
    <w:rsid w:val="06B37333"/>
    <w:rsid w:val="06E52CEB"/>
    <w:rsid w:val="06E64F07"/>
    <w:rsid w:val="06FF1C77"/>
    <w:rsid w:val="07240094"/>
    <w:rsid w:val="075938A5"/>
    <w:rsid w:val="076446A2"/>
    <w:rsid w:val="0772655B"/>
    <w:rsid w:val="077B6101"/>
    <w:rsid w:val="077E2FBC"/>
    <w:rsid w:val="07892C0B"/>
    <w:rsid w:val="07E57706"/>
    <w:rsid w:val="07FB5759"/>
    <w:rsid w:val="080169A6"/>
    <w:rsid w:val="083C7358"/>
    <w:rsid w:val="083D129F"/>
    <w:rsid w:val="085A3B8B"/>
    <w:rsid w:val="085C076F"/>
    <w:rsid w:val="085F73F3"/>
    <w:rsid w:val="086C370F"/>
    <w:rsid w:val="087C55EA"/>
    <w:rsid w:val="08842F01"/>
    <w:rsid w:val="08AE32B7"/>
    <w:rsid w:val="08C02D4F"/>
    <w:rsid w:val="08D05286"/>
    <w:rsid w:val="08D5750A"/>
    <w:rsid w:val="08EE45DC"/>
    <w:rsid w:val="08EF5C8F"/>
    <w:rsid w:val="08F943DD"/>
    <w:rsid w:val="08FC6DEE"/>
    <w:rsid w:val="090B75B8"/>
    <w:rsid w:val="091A0422"/>
    <w:rsid w:val="09435A84"/>
    <w:rsid w:val="096F03A2"/>
    <w:rsid w:val="09834D00"/>
    <w:rsid w:val="09923FC9"/>
    <w:rsid w:val="09AF2D7F"/>
    <w:rsid w:val="09CE0385"/>
    <w:rsid w:val="09FC6849"/>
    <w:rsid w:val="0A0129AC"/>
    <w:rsid w:val="0A1635B9"/>
    <w:rsid w:val="0A4A541F"/>
    <w:rsid w:val="0A8E790A"/>
    <w:rsid w:val="0A94293E"/>
    <w:rsid w:val="0AA91751"/>
    <w:rsid w:val="0AA96EAC"/>
    <w:rsid w:val="0AAF131F"/>
    <w:rsid w:val="0AB6659C"/>
    <w:rsid w:val="0B0179CD"/>
    <w:rsid w:val="0B0B372D"/>
    <w:rsid w:val="0B0D0767"/>
    <w:rsid w:val="0B1579E3"/>
    <w:rsid w:val="0B1C2262"/>
    <w:rsid w:val="0B203F06"/>
    <w:rsid w:val="0B3B009A"/>
    <w:rsid w:val="0B544E60"/>
    <w:rsid w:val="0B657506"/>
    <w:rsid w:val="0B66237F"/>
    <w:rsid w:val="0B676424"/>
    <w:rsid w:val="0B806302"/>
    <w:rsid w:val="0B890BA0"/>
    <w:rsid w:val="0B95577A"/>
    <w:rsid w:val="0B9A0C92"/>
    <w:rsid w:val="0BCB3AD3"/>
    <w:rsid w:val="0BD66648"/>
    <w:rsid w:val="0BDE12E9"/>
    <w:rsid w:val="0BF73193"/>
    <w:rsid w:val="0C1A4678"/>
    <w:rsid w:val="0C235FAB"/>
    <w:rsid w:val="0C3543E9"/>
    <w:rsid w:val="0C456153"/>
    <w:rsid w:val="0C614271"/>
    <w:rsid w:val="0C741582"/>
    <w:rsid w:val="0C924E96"/>
    <w:rsid w:val="0C9268D7"/>
    <w:rsid w:val="0CC12E53"/>
    <w:rsid w:val="0CC60ED2"/>
    <w:rsid w:val="0CCD0D43"/>
    <w:rsid w:val="0CCE3E7D"/>
    <w:rsid w:val="0CD7229F"/>
    <w:rsid w:val="0CE367E4"/>
    <w:rsid w:val="0CE463D7"/>
    <w:rsid w:val="0CF05B81"/>
    <w:rsid w:val="0CF75281"/>
    <w:rsid w:val="0D1D7234"/>
    <w:rsid w:val="0D284122"/>
    <w:rsid w:val="0D7D4867"/>
    <w:rsid w:val="0D8350C8"/>
    <w:rsid w:val="0D992409"/>
    <w:rsid w:val="0DA316BA"/>
    <w:rsid w:val="0DA621A8"/>
    <w:rsid w:val="0DB87971"/>
    <w:rsid w:val="0DDF76F4"/>
    <w:rsid w:val="0DEF6DBF"/>
    <w:rsid w:val="0E0A04A2"/>
    <w:rsid w:val="0E0F2384"/>
    <w:rsid w:val="0E175FAA"/>
    <w:rsid w:val="0E283F33"/>
    <w:rsid w:val="0E425776"/>
    <w:rsid w:val="0E51270D"/>
    <w:rsid w:val="0E755D86"/>
    <w:rsid w:val="0E9464D9"/>
    <w:rsid w:val="0EAE57DE"/>
    <w:rsid w:val="0EBA0609"/>
    <w:rsid w:val="0EBE4E20"/>
    <w:rsid w:val="0EC30EE8"/>
    <w:rsid w:val="0ECD47F2"/>
    <w:rsid w:val="0ED64446"/>
    <w:rsid w:val="0EE87854"/>
    <w:rsid w:val="0EF3129F"/>
    <w:rsid w:val="0EF63B2F"/>
    <w:rsid w:val="0EFC68C3"/>
    <w:rsid w:val="0F12587C"/>
    <w:rsid w:val="0F4175E9"/>
    <w:rsid w:val="0F543706"/>
    <w:rsid w:val="0F5D07EB"/>
    <w:rsid w:val="0F5D5FE9"/>
    <w:rsid w:val="0F6E3FE4"/>
    <w:rsid w:val="0F6E5383"/>
    <w:rsid w:val="0F756570"/>
    <w:rsid w:val="0F8E2DB5"/>
    <w:rsid w:val="0F8E57A9"/>
    <w:rsid w:val="0F97122E"/>
    <w:rsid w:val="0FCD208B"/>
    <w:rsid w:val="0FD7121E"/>
    <w:rsid w:val="0FD73A27"/>
    <w:rsid w:val="0FE0668A"/>
    <w:rsid w:val="0FE426B4"/>
    <w:rsid w:val="0FEB7021"/>
    <w:rsid w:val="0FF74043"/>
    <w:rsid w:val="10007646"/>
    <w:rsid w:val="100161FD"/>
    <w:rsid w:val="100D3A9C"/>
    <w:rsid w:val="10351BBC"/>
    <w:rsid w:val="103604D6"/>
    <w:rsid w:val="1052528A"/>
    <w:rsid w:val="105578DF"/>
    <w:rsid w:val="105B67F6"/>
    <w:rsid w:val="106510A4"/>
    <w:rsid w:val="106D6748"/>
    <w:rsid w:val="10722A0D"/>
    <w:rsid w:val="10A14DD2"/>
    <w:rsid w:val="10C10CA9"/>
    <w:rsid w:val="10E736FB"/>
    <w:rsid w:val="10FC7C33"/>
    <w:rsid w:val="110D6C2C"/>
    <w:rsid w:val="110E7433"/>
    <w:rsid w:val="11212CB2"/>
    <w:rsid w:val="117249AF"/>
    <w:rsid w:val="11907CF9"/>
    <w:rsid w:val="11D3447F"/>
    <w:rsid w:val="11EE53A0"/>
    <w:rsid w:val="11FA4BB2"/>
    <w:rsid w:val="12014D00"/>
    <w:rsid w:val="120C788F"/>
    <w:rsid w:val="121F7D94"/>
    <w:rsid w:val="126473CF"/>
    <w:rsid w:val="12653402"/>
    <w:rsid w:val="12910D0F"/>
    <w:rsid w:val="12985BAA"/>
    <w:rsid w:val="12D456B7"/>
    <w:rsid w:val="12D467F4"/>
    <w:rsid w:val="12E3529A"/>
    <w:rsid w:val="13194343"/>
    <w:rsid w:val="131A3D5E"/>
    <w:rsid w:val="134A42EC"/>
    <w:rsid w:val="13504A4B"/>
    <w:rsid w:val="136E179F"/>
    <w:rsid w:val="13926B0D"/>
    <w:rsid w:val="13A03B44"/>
    <w:rsid w:val="13A04F33"/>
    <w:rsid w:val="13B331CE"/>
    <w:rsid w:val="13C25FA1"/>
    <w:rsid w:val="13C77AF3"/>
    <w:rsid w:val="13F91C5D"/>
    <w:rsid w:val="14084F56"/>
    <w:rsid w:val="140F0CF6"/>
    <w:rsid w:val="14186A00"/>
    <w:rsid w:val="14240A2E"/>
    <w:rsid w:val="14292BBE"/>
    <w:rsid w:val="144408DE"/>
    <w:rsid w:val="14567ECC"/>
    <w:rsid w:val="14584050"/>
    <w:rsid w:val="14862653"/>
    <w:rsid w:val="1490613E"/>
    <w:rsid w:val="14AD2773"/>
    <w:rsid w:val="14B15785"/>
    <w:rsid w:val="14B214CF"/>
    <w:rsid w:val="14BE6A2B"/>
    <w:rsid w:val="15167806"/>
    <w:rsid w:val="151967B0"/>
    <w:rsid w:val="15232095"/>
    <w:rsid w:val="15242AFD"/>
    <w:rsid w:val="15323FB3"/>
    <w:rsid w:val="15433C22"/>
    <w:rsid w:val="155C5724"/>
    <w:rsid w:val="15607899"/>
    <w:rsid w:val="156C5278"/>
    <w:rsid w:val="157C021A"/>
    <w:rsid w:val="15803468"/>
    <w:rsid w:val="15857008"/>
    <w:rsid w:val="15A7055C"/>
    <w:rsid w:val="15D50437"/>
    <w:rsid w:val="15EB146C"/>
    <w:rsid w:val="15EF49E5"/>
    <w:rsid w:val="15F80645"/>
    <w:rsid w:val="15F92AB6"/>
    <w:rsid w:val="15F95E40"/>
    <w:rsid w:val="15FC65FA"/>
    <w:rsid w:val="16054269"/>
    <w:rsid w:val="16224229"/>
    <w:rsid w:val="165D71A6"/>
    <w:rsid w:val="166F0BB1"/>
    <w:rsid w:val="167549A8"/>
    <w:rsid w:val="167A718B"/>
    <w:rsid w:val="167C4882"/>
    <w:rsid w:val="1681472B"/>
    <w:rsid w:val="168660B9"/>
    <w:rsid w:val="169E252D"/>
    <w:rsid w:val="16B01FBA"/>
    <w:rsid w:val="16B92BBA"/>
    <w:rsid w:val="16CB34FF"/>
    <w:rsid w:val="16E86F7C"/>
    <w:rsid w:val="16EA7E0F"/>
    <w:rsid w:val="170D7383"/>
    <w:rsid w:val="17144015"/>
    <w:rsid w:val="175B1064"/>
    <w:rsid w:val="175D4DA5"/>
    <w:rsid w:val="1774652C"/>
    <w:rsid w:val="17777FF7"/>
    <w:rsid w:val="1795200F"/>
    <w:rsid w:val="17C7185F"/>
    <w:rsid w:val="17C8320E"/>
    <w:rsid w:val="17CB28A8"/>
    <w:rsid w:val="17CE5900"/>
    <w:rsid w:val="17F27546"/>
    <w:rsid w:val="18110014"/>
    <w:rsid w:val="181A0023"/>
    <w:rsid w:val="183E5E50"/>
    <w:rsid w:val="18471895"/>
    <w:rsid w:val="18844AFD"/>
    <w:rsid w:val="188E656E"/>
    <w:rsid w:val="18A9048A"/>
    <w:rsid w:val="18BB7122"/>
    <w:rsid w:val="18CE30FA"/>
    <w:rsid w:val="18EC11F1"/>
    <w:rsid w:val="18EE1576"/>
    <w:rsid w:val="18FF09E5"/>
    <w:rsid w:val="19017AB3"/>
    <w:rsid w:val="19040722"/>
    <w:rsid w:val="1928584A"/>
    <w:rsid w:val="192C6B61"/>
    <w:rsid w:val="193C1A08"/>
    <w:rsid w:val="19640835"/>
    <w:rsid w:val="196A48FB"/>
    <w:rsid w:val="19767520"/>
    <w:rsid w:val="198C7403"/>
    <w:rsid w:val="199621F6"/>
    <w:rsid w:val="19AC4277"/>
    <w:rsid w:val="19B2455D"/>
    <w:rsid w:val="19BE2518"/>
    <w:rsid w:val="19D4419C"/>
    <w:rsid w:val="19F04DFD"/>
    <w:rsid w:val="1A182582"/>
    <w:rsid w:val="1A7765F2"/>
    <w:rsid w:val="1AB442C1"/>
    <w:rsid w:val="1AB967A1"/>
    <w:rsid w:val="1ACD5B9C"/>
    <w:rsid w:val="1AD15ECF"/>
    <w:rsid w:val="1AD56EC2"/>
    <w:rsid w:val="1AE2793A"/>
    <w:rsid w:val="1B0516D7"/>
    <w:rsid w:val="1B156D62"/>
    <w:rsid w:val="1B1A3534"/>
    <w:rsid w:val="1B347023"/>
    <w:rsid w:val="1B37447D"/>
    <w:rsid w:val="1B396DC9"/>
    <w:rsid w:val="1B446239"/>
    <w:rsid w:val="1B565C2B"/>
    <w:rsid w:val="1B5A589C"/>
    <w:rsid w:val="1B5C5407"/>
    <w:rsid w:val="1B6F096C"/>
    <w:rsid w:val="1B781C15"/>
    <w:rsid w:val="1B7F1727"/>
    <w:rsid w:val="1B9331A8"/>
    <w:rsid w:val="1B9343D1"/>
    <w:rsid w:val="1BA548E5"/>
    <w:rsid w:val="1BAA1DA4"/>
    <w:rsid w:val="1C015145"/>
    <w:rsid w:val="1C110E70"/>
    <w:rsid w:val="1C1C4C5D"/>
    <w:rsid w:val="1C243BF3"/>
    <w:rsid w:val="1C274E32"/>
    <w:rsid w:val="1C3A7735"/>
    <w:rsid w:val="1C46513E"/>
    <w:rsid w:val="1C4C036A"/>
    <w:rsid w:val="1C5B4E75"/>
    <w:rsid w:val="1C604A85"/>
    <w:rsid w:val="1C867998"/>
    <w:rsid w:val="1C896D2D"/>
    <w:rsid w:val="1CA47C7A"/>
    <w:rsid w:val="1CB35BB2"/>
    <w:rsid w:val="1CB449E3"/>
    <w:rsid w:val="1CE93AAE"/>
    <w:rsid w:val="1D167C27"/>
    <w:rsid w:val="1D1E0B2C"/>
    <w:rsid w:val="1D2572F5"/>
    <w:rsid w:val="1D273911"/>
    <w:rsid w:val="1D3C3FC4"/>
    <w:rsid w:val="1D405F5E"/>
    <w:rsid w:val="1D4744CB"/>
    <w:rsid w:val="1D4902A3"/>
    <w:rsid w:val="1D5E0DC8"/>
    <w:rsid w:val="1D5E4A31"/>
    <w:rsid w:val="1D72734D"/>
    <w:rsid w:val="1D846E3D"/>
    <w:rsid w:val="1DAE0DA9"/>
    <w:rsid w:val="1DB250FE"/>
    <w:rsid w:val="1DBC0759"/>
    <w:rsid w:val="1DC672CF"/>
    <w:rsid w:val="1DE0768B"/>
    <w:rsid w:val="1DE20121"/>
    <w:rsid w:val="1E063D86"/>
    <w:rsid w:val="1E295B48"/>
    <w:rsid w:val="1E333484"/>
    <w:rsid w:val="1E466654"/>
    <w:rsid w:val="1E4824B4"/>
    <w:rsid w:val="1E6008A3"/>
    <w:rsid w:val="1E714F87"/>
    <w:rsid w:val="1E7333E0"/>
    <w:rsid w:val="1E8D5A68"/>
    <w:rsid w:val="1E8E5838"/>
    <w:rsid w:val="1E924543"/>
    <w:rsid w:val="1E99155A"/>
    <w:rsid w:val="1EA5699F"/>
    <w:rsid w:val="1ED8335B"/>
    <w:rsid w:val="1EDC6D6C"/>
    <w:rsid w:val="1EEB059E"/>
    <w:rsid w:val="1EFE3E41"/>
    <w:rsid w:val="1EFF0607"/>
    <w:rsid w:val="1F017807"/>
    <w:rsid w:val="1F042FD0"/>
    <w:rsid w:val="1F062A75"/>
    <w:rsid w:val="1F0F0A6A"/>
    <w:rsid w:val="1F4D5988"/>
    <w:rsid w:val="1F623CA7"/>
    <w:rsid w:val="1F6A29C9"/>
    <w:rsid w:val="1F832D9C"/>
    <w:rsid w:val="1F8D2AB1"/>
    <w:rsid w:val="200504E0"/>
    <w:rsid w:val="20196E0E"/>
    <w:rsid w:val="20236C70"/>
    <w:rsid w:val="202D102C"/>
    <w:rsid w:val="20363DEC"/>
    <w:rsid w:val="20402B1F"/>
    <w:rsid w:val="204C4E2F"/>
    <w:rsid w:val="205535D9"/>
    <w:rsid w:val="205D459F"/>
    <w:rsid w:val="20893546"/>
    <w:rsid w:val="208B5E27"/>
    <w:rsid w:val="20E14680"/>
    <w:rsid w:val="21254518"/>
    <w:rsid w:val="21403214"/>
    <w:rsid w:val="214B0967"/>
    <w:rsid w:val="214D7F44"/>
    <w:rsid w:val="21512333"/>
    <w:rsid w:val="215E59AC"/>
    <w:rsid w:val="216B0FCE"/>
    <w:rsid w:val="216F475B"/>
    <w:rsid w:val="21811027"/>
    <w:rsid w:val="218B005D"/>
    <w:rsid w:val="218E3863"/>
    <w:rsid w:val="21906F05"/>
    <w:rsid w:val="21993938"/>
    <w:rsid w:val="21AE4C5A"/>
    <w:rsid w:val="21C86617"/>
    <w:rsid w:val="21E83151"/>
    <w:rsid w:val="21F335B9"/>
    <w:rsid w:val="221A732A"/>
    <w:rsid w:val="221B7747"/>
    <w:rsid w:val="222354AB"/>
    <w:rsid w:val="222C3982"/>
    <w:rsid w:val="22331923"/>
    <w:rsid w:val="223F6607"/>
    <w:rsid w:val="22564974"/>
    <w:rsid w:val="225D2982"/>
    <w:rsid w:val="22640F76"/>
    <w:rsid w:val="227149E6"/>
    <w:rsid w:val="227E533B"/>
    <w:rsid w:val="2285255A"/>
    <w:rsid w:val="22AD3810"/>
    <w:rsid w:val="22BD0882"/>
    <w:rsid w:val="22DF4C0E"/>
    <w:rsid w:val="22E943B1"/>
    <w:rsid w:val="22F13368"/>
    <w:rsid w:val="23210DBA"/>
    <w:rsid w:val="23382D84"/>
    <w:rsid w:val="2341291F"/>
    <w:rsid w:val="23423336"/>
    <w:rsid w:val="234F3941"/>
    <w:rsid w:val="234F60A8"/>
    <w:rsid w:val="235B3FE8"/>
    <w:rsid w:val="237016C9"/>
    <w:rsid w:val="239A1BEB"/>
    <w:rsid w:val="239C0583"/>
    <w:rsid w:val="23CE58D2"/>
    <w:rsid w:val="23D32D38"/>
    <w:rsid w:val="23EF2A48"/>
    <w:rsid w:val="23F407B8"/>
    <w:rsid w:val="23F80909"/>
    <w:rsid w:val="2441530E"/>
    <w:rsid w:val="244539E4"/>
    <w:rsid w:val="24564985"/>
    <w:rsid w:val="24897D22"/>
    <w:rsid w:val="248E14E2"/>
    <w:rsid w:val="2499092F"/>
    <w:rsid w:val="249F6B81"/>
    <w:rsid w:val="24B609F1"/>
    <w:rsid w:val="24B67EAE"/>
    <w:rsid w:val="24B83A0B"/>
    <w:rsid w:val="24D90E72"/>
    <w:rsid w:val="24E70826"/>
    <w:rsid w:val="24E81C64"/>
    <w:rsid w:val="24FA167C"/>
    <w:rsid w:val="250942B6"/>
    <w:rsid w:val="251E0C48"/>
    <w:rsid w:val="252172A5"/>
    <w:rsid w:val="25232303"/>
    <w:rsid w:val="25254904"/>
    <w:rsid w:val="253341DC"/>
    <w:rsid w:val="257E1309"/>
    <w:rsid w:val="25867551"/>
    <w:rsid w:val="259A0508"/>
    <w:rsid w:val="259E746C"/>
    <w:rsid w:val="25A214A2"/>
    <w:rsid w:val="25A22066"/>
    <w:rsid w:val="25AB72F3"/>
    <w:rsid w:val="25AF7030"/>
    <w:rsid w:val="25D136DD"/>
    <w:rsid w:val="25D61065"/>
    <w:rsid w:val="25E313EA"/>
    <w:rsid w:val="25F93402"/>
    <w:rsid w:val="26335520"/>
    <w:rsid w:val="26371C0B"/>
    <w:rsid w:val="26427A90"/>
    <w:rsid w:val="26774F0F"/>
    <w:rsid w:val="267F0EAC"/>
    <w:rsid w:val="26926004"/>
    <w:rsid w:val="269F21B4"/>
    <w:rsid w:val="26A7399D"/>
    <w:rsid w:val="26B25502"/>
    <w:rsid w:val="26B54708"/>
    <w:rsid w:val="26D11E03"/>
    <w:rsid w:val="26E6204C"/>
    <w:rsid w:val="26E77613"/>
    <w:rsid w:val="26F334DD"/>
    <w:rsid w:val="2708089C"/>
    <w:rsid w:val="271D796D"/>
    <w:rsid w:val="27237053"/>
    <w:rsid w:val="272805F4"/>
    <w:rsid w:val="27592A05"/>
    <w:rsid w:val="27704665"/>
    <w:rsid w:val="277944C1"/>
    <w:rsid w:val="2799307D"/>
    <w:rsid w:val="27A82E1D"/>
    <w:rsid w:val="27CE2E3B"/>
    <w:rsid w:val="27D2090A"/>
    <w:rsid w:val="28000EBC"/>
    <w:rsid w:val="28367C13"/>
    <w:rsid w:val="2837717B"/>
    <w:rsid w:val="28410969"/>
    <w:rsid w:val="284511C5"/>
    <w:rsid w:val="284A24F5"/>
    <w:rsid w:val="284D5A91"/>
    <w:rsid w:val="286C2E40"/>
    <w:rsid w:val="286E7EFE"/>
    <w:rsid w:val="2882451F"/>
    <w:rsid w:val="289A0792"/>
    <w:rsid w:val="28A41672"/>
    <w:rsid w:val="28B036E6"/>
    <w:rsid w:val="28B90611"/>
    <w:rsid w:val="28C27768"/>
    <w:rsid w:val="28C46A9D"/>
    <w:rsid w:val="28C63F81"/>
    <w:rsid w:val="28C94090"/>
    <w:rsid w:val="28CE46EE"/>
    <w:rsid w:val="28D62C29"/>
    <w:rsid w:val="28E45C6F"/>
    <w:rsid w:val="28F52353"/>
    <w:rsid w:val="2905713C"/>
    <w:rsid w:val="29090B19"/>
    <w:rsid w:val="29197A4E"/>
    <w:rsid w:val="2920414D"/>
    <w:rsid w:val="29256504"/>
    <w:rsid w:val="293B24C3"/>
    <w:rsid w:val="29436061"/>
    <w:rsid w:val="29495AA1"/>
    <w:rsid w:val="296C4F38"/>
    <w:rsid w:val="297F6DC5"/>
    <w:rsid w:val="299847FE"/>
    <w:rsid w:val="299E4C53"/>
    <w:rsid w:val="29A6593E"/>
    <w:rsid w:val="29DD3C66"/>
    <w:rsid w:val="29E547D3"/>
    <w:rsid w:val="29ED702A"/>
    <w:rsid w:val="29FC40DE"/>
    <w:rsid w:val="2A1235CC"/>
    <w:rsid w:val="2A1F53C0"/>
    <w:rsid w:val="2A337B82"/>
    <w:rsid w:val="2A423867"/>
    <w:rsid w:val="2A6D2745"/>
    <w:rsid w:val="2A6F5CD4"/>
    <w:rsid w:val="2A9318FA"/>
    <w:rsid w:val="2A9653B4"/>
    <w:rsid w:val="2AAE3572"/>
    <w:rsid w:val="2AB97222"/>
    <w:rsid w:val="2ACF11F1"/>
    <w:rsid w:val="2AE25148"/>
    <w:rsid w:val="2AEC5275"/>
    <w:rsid w:val="2B0013A6"/>
    <w:rsid w:val="2B0F3DFB"/>
    <w:rsid w:val="2B17795C"/>
    <w:rsid w:val="2B2D5D84"/>
    <w:rsid w:val="2B6018CF"/>
    <w:rsid w:val="2B8E1405"/>
    <w:rsid w:val="2B936538"/>
    <w:rsid w:val="2BA50CBD"/>
    <w:rsid w:val="2BBE4728"/>
    <w:rsid w:val="2BDB3B90"/>
    <w:rsid w:val="2BE03A97"/>
    <w:rsid w:val="2BE05D83"/>
    <w:rsid w:val="2C050631"/>
    <w:rsid w:val="2C0523B6"/>
    <w:rsid w:val="2C153062"/>
    <w:rsid w:val="2C210CF2"/>
    <w:rsid w:val="2C363E4D"/>
    <w:rsid w:val="2C411A65"/>
    <w:rsid w:val="2C6613E1"/>
    <w:rsid w:val="2C684199"/>
    <w:rsid w:val="2C703885"/>
    <w:rsid w:val="2C9102BD"/>
    <w:rsid w:val="2C967F29"/>
    <w:rsid w:val="2C9A2B39"/>
    <w:rsid w:val="2CC849C3"/>
    <w:rsid w:val="2CD34229"/>
    <w:rsid w:val="2CD96B9E"/>
    <w:rsid w:val="2D1165B3"/>
    <w:rsid w:val="2D242D15"/>
    <w:rsid w:val="2D653B36"/>
    <w:rsid w:val="2D67366A"/>
    <w:rsid w:val="2D7D1237"/>
    <w:rsid w:val="2D8209CE"/>
    <w:rsid w:val="2D866788"/>
    <w:rsid w:val="2D892FC9"/>
    <w:rsid w:val="2D8B360F"/>
    <w:rsid w:val="2D9B746C"/>
    <w:rsid w:val="2D9D6EED"/>
    <w:rsid w:val="2DAC4EA8"/>
    <w:rsid w:val="2DBB2B44"/>
    <w:rsid w:val="2DCD2304"/>
    <w:rsid w:val="2DDA3D9F"/>
    <w:rsid w:val="2DDD2AE6"/>
    <w:rsid w:val="2DF22029"/>
    <w:rsid w:val="2E023009"/>
    <w:rsid w:val="2E0A0240"/>
    <w:rsid w:val="2E0B30E6"/>
    <w:rsid w:val="2E0C7AB3"/>
    <w:rsid w:val="2E1136EC"/>
    <w:rsid w:val="2E2B2680"/>
    <w:rsid w:val="2E3630EA"/>
    <w:rsid w:val="2E460E13"/>
    <w:rsid w:val="2E4B4A0A"/>
    <w:rsid w:val="2E915A40"/>
    <w:rsid w:val="2EAA176E"/>
    <w:rsid w:val="2EB72ACF"/>
    <w:rsid w:val="2EBD63C6"/>
    <w:rsid w:val="2EBF1EE9"/>
    <w:rsid w:val="2EC815EB"/>
    <w:rsid w:val="2ED65F67"/>
    <w:rsid w:val="2EE85279"/>
    <w:rsid w:val="2F1D358E"/>
    <w:rsid w:val="2F1F6849"/>
    <w:rsid w:val="2F211E59"/>
    <w:rsid w:val="2F377AAC"/>
    <w:rsid w:val="2F464584"/>
    <w:rsid w:val="2F8A63CD"/>
    <w:rsid w:val="2FA22219"/>
    <w:rsid w:val="2FAA56D7"/>
    <w:rsid w:val="2FB57F21"/>
    <w:rsid w:val="2FC56DE1"/>
    <w:rsid w:val="2FC766C1"/>
    <w:rsid w:val="2FC93A00"/>
    <w:rsid w:val="2FCC4D20"/>
    <w:rsid w:val="2FCF514B"/>
    <w:rsid w:val="2FF17CCB"/>
    <w:rsid w:val="2FF53298"/>
    <w:rsid w:val="300862AC"/>
    <w:rsid w:val="300C393D"/>
    <w:rsid w:val="3017224F"/>
    <w:rsid w:val="3021759A"/>
    <w:rsid w:val="30300D52"/>
    <w:rsid w:val="303E0C11"/>
    <w:rsid w:val="30447687"/>
    <w:rsid w:val="304639F1"/>
    <w:rsid w:val="3066753A"/>
    <w:rsid w:val="307B7336"/>
    <w:rsid w:val="30A121A6"/>
    <w:rsid w:val="30C95F3D"/>
    <w:rsid w:val="30CD3E40"/>
    <w:rsid w:val="30DA4802"/>
    <w:rsid w:val="30E57C8C"/>
    <w:rsid w:val="30FD6975"/>
    <w:rsid w:val="31082BC8"/>
    <w:rsid w:val="312605C4"/>
    <w:rsid w:val="315A1559"/>
    <w:rsid w:val="315D6252"/>
    <w:rsid w:val="315F1473"/>
    <w:rsid w:val="31930775"/>
    <w:rsid w:val="31DB1281"/>
    <w:rsid w:val="31E35756"/>
    <w:rsid w:val="31EA1A4C"/>
    <w:rsid w:val="31F06108"/>
    <w:rsid w:val="31F4409B"/>
    <w:rsid w:val="31F74241"/>
    <w:rsid w:val="31FF0B44"/>
    <w:rsid w:val="322E7B74"/>
    <w:rsid w:val="323854A6"/>
    <w:rsid w:val="323C53E9"/>
    <w:rsid w:val="3243069E"/>
    <w:rsid w:val="32510909"/>
    <w:rsid w:val="326053E0"/>
    <w:rsid w:val="327F0DBA"/>
    <w:rsid w:val="32921297"/>
    <w:rsid w:val="32AF26C6"/>
    <w:rsid w:val="32ED68E2"/>
    <w:rsid w:val="32F54CF8"/>
    <w:rsid w:val="32FB0DE7"/>
    <w:rsid w:val="3315322E"/>
    <w:rsid w:val="3319755E"/>
    <w:rsid w:val="3329568E"/>
    <w:rsid w:val="332C58C4"/>
    <w:rsid w:val="3331687B"/>
    <w:rsid w:val="3339383D"/>
    <w:rsid w:val="333A48E1"/>
    <w:rsid w:val="335A3C51"/>
    <w:rsid w:val="3363374A"/>
    <w:rsid w:val="336746D3"/>
    <w:rsid w:val="337732AC"/>
    <w:rsid w:val="338064E1"/>
    <w:rsid w:val="33812815"/>
    <w:rsid w:val="338374DC"/>
    <w:rsid w:val="338A5670"/>
    <w:rsid w:val="33A34B8F"/>
    <w:rsid w:val="33A436FB"/>
    <w:rsid w:val="33B2737E"/>
    <w:rsid w:val="34023106"/>
    <w:rsid w:val="340A381A"/>
    <w:rsid w:val="341143A1"/>
    <w:rsid w:val="342D6BF0"/>
    <w:rsid w:val="343E57DA"/>
    <w:rsid w:val="34403088"/>
    <w:rsid w:val="34422FFF"/>
    <w:rsid w:val="34490A60"/>
    <w:rsid w:val="34497F73"/>
    <w:rsid w:val="34571731"/>
    <w:rsid w:val="34696285"/>
    <w:rsid w:val="34814F5D"/>
    <w:rsid w:val="348A02B6"/>
    <w:rsid w:val="34967033"/>
    <w:rsid w:val="349F0BF4"/>
    <w:rsid w:val="34C41BE7"/>
    <w:rsid w:val="34C84498"/>
    <w:rsid w:val="34D232E3"/>
    <w:rsid w:val="34DF574A"/>
    <w:rsid w:val="34E81546"/>
    <w:rsid w:val="34ED229A"/>
    <w:rsid w:val="34EE044F"/>
    <w:rsid w:val="35073F04"/>
    <w:rsid w:val="350C3E42"/>
    <w:rsid w:val="35131061"/>
    <w:rsid w:val="352E63F8"/>
    <w:rsid w:val="35303AAA"/>
    <w:rsid w:val="35402430"/>
    <w:rsid w:val="355C3FC7"/>
    <w:rsid w:val="35801DDF"/>
    <w:rsid w:val="35837CD6"/>
    <w:rsid w:val="358E28FC"/>
    <w:rsid w:val="359C3572"/>
    <w:rsid w:val="35AB58CC"/>
    <w:rsid w:val="35F51FAF"/>
    <w:rsid w:val="361961C7"/>
    <w:rsid w:val="36314A46"/>
    <w:rsid w:val="36403A38"/>
    <w:rsid w:val="365246A1"/>
    <w:rsid w:val="365C0392"/>
    <w:rsid w:val="36626E4A"/>
    <w:rsid w:val="36637FAA"/>
    <w:rsid w:val="367E6D4A"/>
    <w:rsid w:val="36835FB0"/>
    <w:rsid w:val="36890B6E"/>
    <w:rsid w:val="36937DD2"/>
    <w:rsid w:val="36B04B6C"/>
    <w:rsid w:val="36C57535"/>
    <w:rsid w:val="36C713BE"/>
    <w:rsid w:val="36CF1B12"/>
    <w:rsid w:val="36D1115E"/>
    <w:rsid w:val="36D9161C"/>
    <w:rsid w:val="36E90700"/>
    <w:rsid w:val="37270A96"/>
    <w:rsid w:val="37517677"/>
    <w:rsid w:val="375A1DFE"/>
    <w:rsid w:val="375F69F3"/>
    <w:rsid w:val="376270C8"/>
    <w:rsid w:val="3774316F"/>
    <w:rsid w:val="37874B86"/>
    <w:rsid w:val="378A3D1D"/>
    <w:rsid w:val="37924FDC"/>
    <w:rsid w:val="37BA05B3"/>
    <w:rsid w:val="37D843B2"/>
    <w:rsid w:val="37DC369B"/>
    <w:rsid w:val="37F34B60"/>
    <w:rsid w:val="38471DFA"/>
    <w:rsid w:val="384E5E94"/>
    <w:rsid w:val="38651115"/>
    <w:rsid w:val="38BB0133"/>
    <w:rsid w:val="38CB09C4"/>
    <w:rsid w:val="38D20AFF"/>
    <w:rsid w:val="38E5667E"/>
    <w:rsid w:val="39221172"/>
    <w:rsid w:val="397866DF"/>
    <w:rsid w:val="397C401E"/>
    <w:rsid w:val="399F4452"/>
    <w:rsid w:val="3A051757"/>
    <w:rsid w:val="3A2D4628"/>
    <w:rsid w:val="3A4F7C26"/>
    <w:rsid w:val="3A742189"/>
    <w:rsid w:val="3A9D3C23"/>
    <w:rsid w:val="3AA66174"/>
    <w:rsid w:val="3AAF4E3A"/>
    <w:rsid w:val="3ABE319F"/>
    <w:rsid w:val="3AEB0452"/>
    <w:rsid w:val="3AF765EA"/>
    <w:rsid w:val="3AFD42E0"/>
    <w:rsid w:val="3B0B0F7D"/>
    <w:rsid w:val="3B0D6080"/>
    <w:rsid w:val="3B4C09D6"/>
    <w:rsid w:val="3B5B2F84"/>
    <w:rsid w:val="3B5E775A"/>
    <w:rsid w:val="3BA73E4B"/>
    <w:rsid w:val="3BBF24F5"/>
    <w:rsid w:val="3BC35012"/>
    <w:rsid w:val="3BC51C79"/>
    <w:rsid w:val="3BCD7D39"/>
    <w:rsid w:val="3BDC0292"/>
    <w:rsid w:val="3BEB34FE"/>
    <w:rsid w:val="3BEC1325"/>
    <w:rsid w:val="3C176E3E"/>
    <w:rsid w:val="3C361791"/>
    <w:rsid w:val="3C3C3974"/>
    <w:rsid w:val="3C4A4AB6"/>
    <w:rsid w:val="3C5A3DB3"/>
    <w:rsid w:val="3C621681"/>
    <w:rsid w:val="3C894FFC"/>
    <w:rsid w:val="3C981449"/>
    <w:rsid w:val="3CB55C19"/>
    <w:rsid w:val="3CCF328C"/>
    <w:rsid w:val="3CFF28B5"/>
    <w:rsid w:val="3D131190"/>
    <w:rsid w:val="3D4B714D"/>
    <w:rsid w:val="3D5F1090"/>
    <w:rsid w:val="3D68414F"/>
    <w:rsid w:val="3D7A3046"/>
    <w:rsid w:val="3D851E86"/>
    <w:rsid w:val="3D882B4E"/>
    <w:rsid w:val="3D8F6003"/>
    <w:rsid w:val="3DCC5054"/>
    <w:rsid w:val="3DD313E6"/>
    <w:rsid w:val="3E0567DC"/>
    <w:rsid w:val="3E0A75D5"/>
    <w:rsid w:val="3E12769E"/>
    <w:rsid w:val="3E216647"/>
    <w:rsid w:val="3E4164D8"/>
    <w:rsid w:val="3E5733E5"/>
    <w:rsid w:val="3E754F6D"/>
    <w:rsid w:val="3EF0422F"/>
    <w:rsid w:val="3EFA680B"/>
    <w:rsid w:val="3EFB4D7A"/>
    <w:rsid w:val="3F060334"/>
    <w:rsid w:val="3F145D4C"/>
    <w:rsid w:val="3F147C6B"/>
    <w:rsid w:val="3F197C7E"/>
    <w:rsid w:val="3F2B14B8"/>
    <w:rsid w:val="3F4A49C3"/>
    <w:rsid w:val="3F4F5690"/>
    <w:rsid w:val="3F50488D"/>
    <w:rsid w:val="3F562A4B"/>
    <w:rsid w:val="3F631D42"/>
    <w:rsid w:val="3FA4574E"/>
    <w:rsid w:val="3FB06496"/>
    <w:rsid w:val="3FB903F1"/>
    <w:rsid w:val="3FBB5D90"/>
    <w:rsid w:val="3FD5526A"/>
    <w:rsid w:val="3FDC7AEC"/>
    <w:rsid w:val="3FFB268E"/>
    <w:rsid w:val="4005696B"/>
    <w:rsid w:val="40130B65"/>
    <w:rsid w:val="402604FB"/>
    <w:rsid w:val="40266C27"/>
    <w:rsid w:val="404C7F5E"/>
    <w:rsid w:val="405B1AEC"/>
    <w:rsid w:val="40613FF0"/>
    <w:rsid w:val="40724CC4"/>
    <w:rsid w:val="409154B0"/>
    <w:rsid w:val="409256E1"/>
    <w:rsid w:val="40B85DB7"/>
    <w:rsid w:val="40F55A94"/>
    <w:rsid w:val="41224EE4"/>
    <w:rsid w:val="41415B35"/>
    <w:rsid w:val="416E5D88"/>
    <w:rsid w:val="417024B0"/>
    <w:rsid w:val="41780D99"/>
    <w:rsid w:val="41C44C89"/>
    <w:rsid w:val="41CA27FD"/>
    <w:rsid w:val="41CE0077"/>
    <w:rsid w:val="41D6409F"/>
    <w:rsid w:val="41FB14D8"/>
    <w:rsid w:val="42066545"/>
    <w:rsid w:val="424130A7"/>
    <w:rsid w:val="4249469B"/>
    <w:rsid w:val="4254635D"/>
    <w:rsid w:val="427C2BED"/>
    <w:rsid w:val="42822646"/>
    <w:rsid w:val="42832850"/>
    <w:rsid w:val="428F1CD7"/>
    <w:rsid w:val="42AF26A3"/>
    <w:rsid w:val="42D2345A"/>
    <w:rsid w:val="42DE2DBB"/>
    <w:rsid w:val="42EE6C17"/>
    <w:rsid w:val="4313550E"/>
    <w:rsid w:val="43203D52"/>
    <w:rsid w:val="434529B6"/>
    <w:rsid w:val="436E7F78"/>
    <w:rsid w:val="437D1475"/>
    <w:rsid w:val="439B5912"/>
    <w:rsid w:val="43A62441"/>
    <w:rsid w:val="43C47A98"/>
    <w:rsid w:val="43CF70DB"/>
    <w:rsid w:val="43D72F2A"/>
    <w:rsid w:val="43DE5BA6"/>
    <w:rsid w:val="43E22AAB"/>
    <w:rsid w:val="441448AC"/>
    <w:rsid w:val="44156DB2"/>
    <w:rsid w:val="442A5E74"/>
    <w:rsid w:val="442F1242"/>
    <w:rsid w:val="44321CDE"/>
    <w:rsid w:val="444F16C1"/>
    <w:rsid w:val="445946B8"/>
    <w:rsid w:val="446A4315"/>
    <w:rsid w:val="447C479A"/>
    <w:rsid w:val="447D72BB"/>
    <w:rsid w:val="448E1365"/>
    <w:rsid w:val="449C7460"/>
    <w:rsid w:val="44B40093"/>
    <w:rsid w:val="44C051C4"/>
    <w:rsid w:val="44CD5B4E"/>
    <w:rsid w:val="44DE3035"/>
    <w:rsid w:val="44F308DC"/>
    <w:rsid w:val="45166C48"/>
    <w:rsid w:val="452F2537"/>
    <w:rsid w:val="45470A48"/>
    <w:rsid w:val="455427A0"/>
    <w:rsid w:val="45594A1D"/>
    <w:rsid w:val="45696D41"/>
    <w:rsid w:val="457749CB"/>
    <w:rsid w:val="457865B5"/>
    <w:rsid w:val="457B3CAF"/>
    <w:rsid w:val="45845B4C"/>
    <w:rsid w:val="458E57E7"/>
    <w:rsid w:val="45BE1F88"/>
    <w:rsid w:val="45CA2798"/>
    <w:rsid w:val="45CA3540"/>
    <w:rsid w:val="45CC21BE"/>
    <w:rsid w:val="45E023D4"/>
    <w:rsid w:val="45EF2738"/>
    <w:rsid w:val="45F03D1C"/>
    <w:rsid w:val="45F0411C"/>
    <w:rsid w:val="461169E2"/>
    <w:rsid w:val="46190505"/>
    <w:rsid w:val="46426FEC"/>
    <w:rsid w:val="464628DE"/>
    <w:rsid w:val="46486C9B"/>
    <w:rsid w:val="46544CBA"/>
    <w:rsid w:val="46637206"/>
    <w:rsid w:val="466644F5"/>
    <w:rsid w:val="4694644E"/>
    <w:rsid w:val="469D5876"/>
    <w:rsid w:val="46A34477"/>
    <w:rsid w:val="46A72CB8"/>
    <w:rsid w:val="46AF0A58"/>
    <w:rsid w:val="46C33F52"/>
    <w:rsid w:val="46D27D5E"/>
    <w:rsid w:val="46E27F4A"/>
    <w:rsid w:val="46E74A3E"/>
    <w:rsid w:val="47040D55"/>
    <w:rsid w:val="47412F1E"/>
    <w:rsid w:val="474C67D9"/>
    <w:rsid w:val="476917BC"/>
    <w:rsid w:val="47692ABB"/>
    <w:rsid w:val="476D6CF9"/>
    <w:rsid w:val="477243DC"/>
    <w:rsid w:val="4782673C"/>
    <w:rsid w:val="478B1D42"/>
    <w:rsid w:val="478F2745"/>
    <w:rsid w:val="47950F24"/>
    <w:rsid w:val="47966FE4"/>
    <w:rsid w:val="47D9122F"/>
    <w:rsid w:val="47E66C2F"/>
    <w:rsid w:val="47F55C29"/>
    <w:rsid w:val="4804632D"/>
    <w:rsid w:val="48273B1D"/>
    <w:rsid w:val="483026E0"/>
    <w:rsid w:val="48450DC5"/>
    <w:rsid w:val="48CC6F9A"/>
    <w:rsid w:val="48ED487C"/>
    <w:rsid w:val="490F2414"/>
    <w:rsid w:val="491C4A67"/>
    <w:rsid w:val="491C6FB2"/>
    <w:rsid w:val="492269C0"/>
    <w:rsid w:val="492D45E0"/>
    <w:rsid w:val="494C592E"/>
    <w:rsid w:val="49533C4B"/>
    <w:rsid w:val="49552E0D"/>
    <w:rsid w:val="495C75E0"/>
    <w:rsid w:val="497239FF"/>
    <w:rsid w:val="497A66C7"/>
    <w:rsid w:val="49D228E7"/>
    <w:rsid w:val="49F56B93"/>
    <w:rsid w:val="49F74A02"/>
    <w:rsid w:val="4A0808B3"/>
    <w:rsid w:val="4A0C25EE"/>
    <w:rsid w:val="4A2310A3"/>
    <w:rsid w:val="4A3474BE"/>
    <w:rsid w:val="4A4A42BA"/>
    <w:rsid w:val="4A532C0D"/>
    <w:rsid w:val="4A5436F5"/>
    <w:rsid w:val="4A580FE6"/>
    <w:rsid w:val="4A582015"/>
    <w:rsid w:val="4AD8541F"/>
    <w:rsid w:val="4AEC4045"/>
    <w:rsid w:val="4AFC0738"/>
    <w:rsid w:val="4AFC6FFF"/>
    <w:rsid w:val="4B0918EE"/>
    <w:rsid w:val="4B130525"/>
    <w:rsid w:val="4B315CC0"/>
    <w:rsid w:val="4B527DA7"/>
    <w:rsid w:val="4B7568A7"/>
    <w:rsid w:val="4B8428BA"/>
    <w:rsid w:val="4BDC0F1B"/>
    <w:rsid w:val="4BDD4B79"/>
    <w:rsid w:val="4BE7579B"/>
    <w:rsid w:val="4BE804F8"/>
    <w:rsid w:val="4BF65B8C"/>
    <w:rsid w:val="4BF70526"/>
    <w:rsid w:val="4BF75153"/>
    <w:rsid w:val="4C0360A3"/>
    <w:rsid w:val="4C096474"/>
    <w:rsid w:val="4C153233"/>
    <w:rsid w:val="4C431BC8"/>
    <w:rsid w:val="4C460BFF"/>
    <w:rsid w:val="4C4D5ABA"/>
    <w:rsid w:val="4C525C53"/>
    <w:rsid w:val="4C585BEB"/>
    <w:rsid w:val="4C641352"/>
    <w:rsid w:val="4C70632B"/>
    <w:rsid w:val="4C7C4971"/>
    <w:rsid w:val="4CCD060B"/>
    <w:rsid w:val="4CD92C71"/>
    <w:rsid w:val="4CDD2D74"/>
    <w:rsid w:val="4D0811EC"/>
    <w:rsid w:val="4D0F68AD"/>
    <w:rsid w:val="4D142FE6"/>
    <w:rsid w:val="4D3306A1"/>
    <w:rsid w:val="4D3527EA"/>
    <w:rsid w:val="4D5B2BA9"/>
    <w:rsid w:val="4D86410E"/>
    <w:rsid w:val="4D88049C"/>
    <w:rsid w:val="4DA277AA"/>
    <w:rsid w:val="4DA45964"/>
    <w:rsid w:val="4DB850D4"/>
    <w:rsid w:val="4DDA2232"/>
    <w:rsid w:val="4DF6568B"/>
    <w:rsid w:val="4DF9773B"/>
    <w:rsid w:val="4DFB1404"/>
    <w:rsid w:val="4E13369E"/>
    <w:rsid w:val="4E2A543F"/>
    <w:rsid w:val="4E2C0EAC"/>
    <w:rsid w:val="4E31048D"/>
    <w:rsid w:val="4E5372F1"/>
    <w:rsid w:val="4E564D6F"/>
    <w:rsid w:val="4E573EB5"/>
    <w:rsid w:val="4E597710"/>
    <w:rsid w:val="4E6E1DF0"/>
    <w:rsid w:val="4E8015B6"/>
    <w:rsid w:val="4E8D1891"/>
    <w:rsid w:val="4E9F1B20"/>
    <w:rsid w:val="4EA378EF"/>
    <w:rsid w:val="4EAB0AAB"/>
    <w:rsid w:val="4EBD7558"/>
    <w:rsid w:val="4EC7609A"/>
    <w:rsid w:val="4ECF48B5"/>
    <w:rsid w:val="4ED74A74"/>
    <w:rsid w:val="4EE406B7"/>
    <w:rsid w:val="4EF7709F"/>
    <w:rsid w:val="4EF92F42"/>
    <w:rsid w:val="4EFA6D9C"/>
    <w:rsid w:val="4F0313B5"/>
    <w:rsid w:val="4F227482"/>
    <w:rsid w:val="4F26054E"/>
    <w:rsid w:val="4F3D30C8"/>
    <w:rsid w:val="4F4F7393"/>
    <w:rsid w:val="4F5A71B0"/>
    <w:rsid w:val="4F662981"/>
    <w:rsid w:val="4F862286"/>
    <w:rsid w:val="4FAC14A7"/>
    <w:rsid w:val="4FAE33DA"/>
    <w:rsid w:val="4FB304A9"/>
    <w:rsid w:val="4FCA71E9"/>
    <w:rsid w:val="4FDC25DB"/>
    <w:rsid w:val="4FE37975"/>
    <w:rsid w:val="50037447"/>
    <w:rsid w:val="501971CC"/>
    <w:rsid w:val="501A5F54"/>
    <w:rsid w:val="50265EF2"/>
    <w:rsid w:val="50433D00"/>
    <w:rsid w:val="504538DB"/>
    <w:rsid w:val="508A107C"/>
    <w:rsid w:val="509C1687"/>
    <w:rsid w:val="509D3DB6"/>
    <w:rsid w:val="509E6CCC"/>
    <w:rsid w:val="50A9645F"/>
    <w:rsid w:val="50C21925"/>
    <w:rsid w:val="50C34336"/>
    <w:rsid w:val="50C36C7D"/>
    <w:rsid w:val="50EF5087"/>
    <w:rsid w:val="50F373FF"/>
    <w:rsid w:val="50FC2625"/>
    <w:rsid w:val="51056B50"/>
    <w:rsid w:val="51204143"/>
    <w:rsid w:val="51204589"/>
    <w:rsid w:val="515B495F"/>
    <w:rsid w:val="5160333E"/>
    <w:rsid w:val="516A4185"/>
    <w:rsid w:val="51734864"/>
    <w:rsid w:val="51780EB5"/>
    <w:rsid w:val="517837F5"/>
    <w:rsid w:val="51F8741C"/>
    <w:rsid w:val="52201477"/>
    <w:rsid w:val="522B69B1"/>
    <w:rsid w:val="52511E70"/>
    <w:rsid w:val="526C0A1C"/>
    <w:rsid w:val="526E41CD"/>
    <w:rsid w:val="52816B3C"/>
    <w:rsid w:val="52AF408D"/>
    <w:rsid w:val="52D86C95"/>
    <w:rsid w:val="52E42A1B"/>
    <w:rsid w:val="531657B3"/>
    <w:rsid w:val="531C4649"/>
    <w:rsid w:val="53233CF7"/>
    <w:rsid w:val="53446D96"/>
    <w:rsid w:val="535031A3"/>
    <w:rsid w:val="535413E9"/>
    <w:rsid w:val="535C3FDC"/>
    <w:rsid w:val="53734E37"/>
    <w:rsid w:val="53754D41"/>
    <w:rsid w:val="53AF1FD7"/>
    <w:rsid w:val="53C60ED9"/>
    <w:rsid w:val="53EA723E"/>
    <w:rsid w:val="53F90DE2"/>
    <w:rsid w:val="53FE54F0"/>
    <w:rsid w:val="541976D9"/>
    <w:rsid w:val="54430EC9"/>
    <w:rsid w:val="544C39A8"/>
    <w:rsid w:val="54590F24"/>
    <w:rsid w:val="546E0F19"/>
    <w:rsid w:val="547E741E"/>
    <w:rsid w:val="54B1173C"/>
    <w:rsid w:val="54B900E8"/>
    <w:rsid w:val="54C37A60"/>
    <w:rsid w:val="54D321BD"/>
    <w:rsid w:val="54D837C7"/>
    <w:rsid w:val="54D93F0E"/>
    <w:rsid w:val="54DB1A60"/>
    <w:rsid w:val="54F55170"/>
    <w:rsid w:val="54FC0996"/>
    <w:rsid w:val="54FF37C2"/>
    <w:rsid w:val="550D0EEC"/>
    <w:rsid w:val="55134A6E"/>
    <w:rsid w:val="55191E0F"/>
    <w:rsid w:val="552F748D"/>
    <w:rsid w:val="55422808"/>
    <w:rsid w:val="55493B4C"/>
    <w:rsid w:val="55595E5C"/>
    <w:rsid w:val="55606988"/>
    <w:rsid w:val="55633746"/>
    <w:rsid w:val="55725FC8"/>
    <w:rsid w:val="557E66F0"/>
    <w:rsid w:val="558D09E7"/>
    <w:rsid w:val="55A25875"/>
    <w:rsid w:val="55C67DB6"/>
    <w:rsid w:val="55C84F0F"/>
    <w:rsid w:val="55CE5E2B"/>
    <w:rsid w:val="55DA77CA"/>
    <w:rsid w:val="55DE79CD"/>
    <w:rsid w:val="56086F50"/>
    <w:rsid w:val="5609777D"/>
    <w:rsid w:val="56280B38"/>
    <w:rsid w:val="564A0EDF"/>
    <w:rsid w:val="56621C1A"/>
    <w:rsid w:val="568672EA"/>
    <w:rsid w:val="569D640D"/>
    <w:rsid w:val="56B54E8D"/>
    <w:rsid w:val="56D71E1C"/>
    <w:rsid w:val="56D9527E"/>
    <w:rsid w:val="56E515BC"/>
    <w:rsid w:val="570A6052"/>
    <w:rsid w:val="5710790D"/>
    <w:rsid w:val="5746170C"/>
    <w:rsid w:val="57482B87"/>
    <w:rsid w:val="57574A37"/>
    <w:rsid w:val="575A6C79"/>
    <w:rsid w:val="57896E23"/>
    <w:rsid w:val="578D4B30"/>
    <w:rsid w:val="579B08C7"/>
    <w:rsid w:val="579E2D81"/>
    <w:rsid w:val="579E5171"/>
    <w:rsid w:val="57A3499D"/>
    <w:rsid w:val="57BA0B95"/>
    <w:rsid w:val="57EB76CE"/>
    <w:rsid w:val="57FD0D6F"/>
    <w:rsid w:val="58053AC1"/>
    <w:rsid w:val="58073C33"/>
    <w:rsid w:val="58094AAB"/>
    <w:rsid w:val="581A104E"/>
    <w:rsid w:val="5830369E"/>
    <w:rsid w:val="583D70B4"/>
    <w:rsid w:val="5841549D"/>
    <w:rsid w:val="584F1D65"/>
    <w:rsid w:val="5880072D"/>
    <w:rsid w:val="58901721"/>
    <w:rsid w:val="58910835"/>
    <w:rsid w:val="58A76429"/>
    <w:rsid w:val="58B37634"/>
    <w:rsid w:val="58BC3F0B"/>
    <w:rsid w:val="58BD363C"/>
    <w:rsid w:val="58C14FEE"/>
    <w:rsid w:val="58CA06AC"/>
    <w:rsid w:val="58D2513D"/>
    <w:rsid w:val="59045BB1"/>
    <w:rsid w:val="590B351A"/>
    <w:rsid w:val="59362588"/>
    <w:rsid w:val="597F5AE4"/>
    <w:rsid w:val="59980E6D"/>
    <w:rsid w:val="59BE109C"/>
    <w:rsid w:val="59CF13D9"/>
    <w:rsid w:val="59E76B99"/>
    <w:rsid w:val="5A3F5715"/>
    <w:rsid w:val="5A4B4079"/>
    <w:rsid w:val="5A5C60FA"/>
    <w:rsid w:val="5A6E0956"/>
    <w:rsid w:val="5A9778A2"/>
    <w:rsid w:val="5AB3289F"/>
    <w:rsid w:val="5ABA309E"/>
    <w:rsid w:val="5AD3284C"/>
    <w:rsid w:val="5AE57361"/>
    <w:rsid w:val="5AE71EA8"/>
    <w:rsid w:val="5AEB1022"/>
    <w:rsid w:val="5B004EBC"/>
    <w:rsid w:val="5B0B7CA3"/>
    <w:rsid w:val="5B3F5F25"/>
    <w:rsid w:val="5B44106B"/>
    <w:rsid w:val="5B7072AE"/>
    <w:rsid w:val="5B941470"/>
    <w:rsid w:val="5B9D772A"/>
    <w:rsid w:val="5BE04D9C"/>
    <w:rsid w:val="5BEA739B"/>
    <w:rsid w:val="5BF56986"/>
    <w:rsid w:val="5C0038E0"/>
    <w:rsid w:val="5C1C0B21"/>
    <w:rsid w:val="5C383A04"/>
    <w:rsid w:val="5C4C4F7F"/>
    <w:rsid w:val="5C5F4AFD"/>
    <w:rsid w:val="5CA56D5F"/>
    <w:rsid w:val="5CC33A21"/>
    <w:rsid w:val="5CC4381C"/>
    <w:rsid w:val="5CE410BC"/>
    <w:rsid w:val="5CF0302A"/>
    <w:rsid w:val="5D000E1A"/>
    <w:rsid w:val="5D06049C"/>
    <w:rsid w:val="5D0920A7"/>
    <w:rsid w:val="5D1B0675"/>
    <w:rsid w:val="5D250D52"/>
    <w:rsid w:val="5D286AD1"/>
    <w:rsid w:val="5D2B482F"/>
    <w:rsid w:val="5D2F02C1"/>
    <w:rsid w:val="5D3215EB"/>
    <w:rsid w:val="5D495171"/>
    <w:rsid w:val="5D577DB8"/>
    <w:rsid w:val="5D5A5D7A"/>
    <w:rsid w:val="5D5C1789"/>
    <w:rsid w:val="5D666A7C"/>
    <w:rsid w:val="5D711DEB"/>
    <w:rsid w:val="5DA51307"/>
    <w:rsid w:val="5DAF40F9"/>
    <w:rsid w:val="5DB91428"/>
    <w:rsid w:val="5DBD2C11"/>
    <w:rsid w:val="5DC052CB"/>
    <w:rsid w:val="5DC12BAC"/>
    <w:rsid w:val="5DC80ADD"/>
    <w:rsid w:val="5DCA02A6"/>
    <w:rsid w:val="5DE36137"/>
    <w:rsid w:val="5DF20E6E"/>
    <w:rsid w:val="5DFF53D5"/>
    <w:rsid w:val="5E290F41"/>
    <w:rsid w:val="5E35457B"/>
    <w:rsid w:val="5E54342E"/>
    <w:rsid w:val="5E9E3200"/>
    <w:rsid w:val="5F046A70"/>
    <w:rsid w:val="5F086D0A"/>
    <w:rsid w:val="5F0E0525"/>
    <w:rsid w:val="5F197E7D"/>
    <w:rsid w:val="5F31176B"/>
    <w:rsid w:val="5F3E141C"/>
    <w:rsid w:val="5F453448"/>
    <w:rsid w:val="5F5155B1"/>
    <w:rsid w:val="5F833D1A"/>
    <w:rsid w:val="5F8B70DC"/>
    <w:rsid w:val="5F9B3E02"/>
    <w:rsid w:val="5FAF79F0"/>
    <w:rsid w:val="5FB924F4"/>
    <w:rsid w:val="5FB9655B"/>
    <w:rsid w:val="5FC40CE1"/>
    <w:rsid w:val="5FDC64E5"/>
    <w:rsid w:val="5FDD15BC"/>
    <w:rsid w:val="5FF26F1F"/>
    <w:rsid w:val="5FF3069F"/>
    <w:rsid w:val="5FF74C96"/>
    <w:rsid w:val="6007136A"/>
    <w:rsid w:val="60137826"/>
    <w:rsid w:val="603A720B"/>
    <w:rsid w:val="60AA6711"/>
    <w:rsid w:val="60AD1AA5"/>
    <w:rsid w:val="60B035DB"/>
    <w:rsid w:val="60BB6222"/>
    <w:rsid w:val="60C804D6"/>
    <w:rsid w:val="60D01808"/>
    <w:rsid w:val="60D77600"/>
    <w:rsid w:val="60E52A1C"/>
    <w:rsid w:val="60EC0314"/>
    <w:rsid w:val="60F5281A"/>
    <w:rsid w:val="610E45A3"/>
    <w:rsid w:val="61327F6E"/>
    <w:rsid w:val="6134688E"/>
    <w:rsid w:val="6145484E"/>
    <w:rsid w:val="614E00F7"/>
    <w:rsid w:val="615564AA"/>
    <w:rsid w:val="616F46ED"/>
    <w:rsid w:val="617634B4"/>
    <w:rsid w:val="61764F33"/>
    <w:rsid w:val="61965F18"/>
    <w:rsid w:val="619B0194"/>
    <w:rsid w:val="619B590D"/>
    <w:rsid w:val="619C2C1C"/>
    <w:rsid w:val="61AC3E01"/>
    <w:rsid w:val="61B40761"/>
    <w:rsid w:val="61E14AB4"/>
    <w:rsid w:val="61E8359D"/>
    <w:rsid w:val="62192536"/>
    <w:rsid w:val="622741C2"/>
    <w:rsid w:val="622B7E49"/>
    <w:rsid w:val="623732B2"/>
    <w:rsid w:val="62493573"/>
    <w:rsid w:val="62626591"/>
    <w:rsid w:val="626C05A6"/>
    <w:rsid w:val="628029F8"/>
    <w:rsid w:val="628A79D5"/>
    <w:rsid w:val="62982CA4"/>
    <w:rsid w:val="629937DD"/>
    <w:rsid w:val="62AC0D2E"/>
    <w:rsid w:val="62B84708"/>
    <w:rsid w:val="62DA0D28"/>
    <w:rsid w:val="62E7356C"/>
    <w:rsid w:val="62E841CC"/>
    <w:rsid w:val="62F82153"/>
    <w:rsid w:val="62FE10F6"/>
    <w:rsid w:val="630639E6"/>
    <w:rsid w:val="630F1DCB"/>
    <w:rsid w:val="63172C8E"/>
    <w:rsid w:val="633E5219"/>
    <w:rsid w:val="63501255"/>
    <w:rsid w:val="63672656"/>
    <w:rsid w:val="637929CC"/>
    <w:rsid w:val="637F1B04"/>
    <w:rsid w:val="63840450"/>
    <w:rsid w:val="638E18BB"/>
    <w:rsid w:val="63B8183E"/>
    <w:rsid w:val="63D06753"/>
    <w:rsid w:val="63DA46C8"/>
    <w:rsid w:val="63E86798"/>
    <w:rsid w:val="63FC08AD"/>
    <w:rsid w:val="64067C3C"/>
    <w:rsid w:val="640B2DAF"/>
    <w:rsid w:val="64107E50"/>
    <w:rsid w:val="64241587"/>
    <w:rsid w:val="64375735"/>
    <w:rsid w:val="645609B9"/>
    <w:rsid w:val="648F398F"/>
    <w:rsid w:val="64A06383"/>
    <w:rsid w:val="64CC36FC"/>
    <w:rsid w:val="64E966B9"/>
    <w:rsid w:val="64EC30E0"/>
    <w:rsid w:val="64FC1635"/>
    <w:rsid w:val="65074235"/>
    <w:rsid w:val="652C0B45"/>
    <w:rsid w:val="653105FD"/>
    <w:rsid w:val="654E021C"/>
    <w:rsid w:val="65531DB9"/>
    <w:rsid w:val="6560662E"/>
    <w:rsid w:val="65676CAB"/>
    <w:rsid w:val="657440D6"/>
    <w:rsid w:val="658B24B0"/>
    <w:rsid w:val="65B815E9"/>
    <w:rsid w:val="65B939D3"/>
    <w:rsid w:val="65CF6138"/>
    <w:rsid w:val="65D667BB"/>
    <w:rsid w:val="65F901A3"/>
    <w:rsid w:val="661F26ED"/>
    <w:rsid w:val="662605EF"/>
    <w:rsid w:val="662D15A4"/>
    <w:rsid w:val="6648311C"/>
    <w:rsid w:val="664C1C5B"/>
    <w:rsid w:val="66614876"/>
    <w:rsid w:val="666D7C14"/>
    <w:rsid w:val="667567D4"/>
    <w:rsid w:val="667A0E45"/>
    <w:rsid w:val="667E6F2C"/>
    <w:rsid w:val="669215D0"/>
    <w:rsid w:val="66A94C19"/>
    <w:rsid w:val="66D32809"/>
    <w:rsid w:val="66D7094B"/>
    <w:rsid w:val="66E45942"/>
    <w:rsid w:val="66FC6379"/>
    <w:rsid w:val="66FF404E"/>
    <w:rsid w:val="67686654"/>
    <w:rsid w:val="677C6D8D"/>
    <w:rsid w:val="67942608"/>
    <w:rsid w:val="679E4221"/>
    <w:rsid w:val="67A21BC5"/>
    <w:rsid w:val="67A42436"/>
    <w:rsid w:val="67B31897"/>
    <w:rsid w:val="67B426C9"/>
    <w:rsid w:val="67E453A9"/>
    <w:rsid w:val="682A170E"/>
    <w:rsid w:val="68334B02"/>
    <w:rsid w:val="683A31C4"/>
    <w:rsid w:val="683B52B1"/>
    <w:rsid w:val="68892E5B"/>
    <w:rsid w:val="689C455D"/>
    <w:rsid w:val="68AB79B1"/>
    <w:rsid w:val="68C247BE"/>
    <w:rsid w:val="68C85413"/>
    <w:rsid w:val="68F10FE7"/>
    <w:rsid w:val="69081BBE"/>
    <w:rsid w:val="6969420A"/>
    <w:rsid w:val="698577B4"/>
    <w:rsid w:val="69964669"/>
    <w:rsid w:val="69B52C90"/>
    <w:rsid w:val="69B566D2"/>
    <w:rsid w:val="69C536C9"/>
    <w:rsid w:val="69F005DF"/>
    <w:rsid w:val="69F72FB3"/>
    <w:rsid w:val="6A0B2B83"/>
    <w:rsid w:val="6A0F7DA3"/>
    <w:rsid w:val="6A140043"/>
    <w:rsid w:val="6A147101"/>
    <w:rsid w:val="6A195D69"/>
    <w:rsid w:val="6A267C7F"/>
    <w:rsid w:val="6A2D0DCF"/>
    <w:rsid w:val="6A4928EE"/>
    <w:rsid w:val="6A4E0F35"/>
    <w:rsid w:val="6A650013"/>
    <w:rsid w:val="6A99044D"/>
    <w:rsid w:val="6AA212F4"/>
    <w:rsid w:val="6AAD7130"/>
    <w:rsid w:val="6ADD26BE"/>
    <w:rsid w:val="6B0F2991"/>
    <w:rsid w:val="6B0F3D85"/>
    <w:rsid w:val="6B173F6C"/>
    <w:rsid w:val="6B1F51D6"/>
    <w:rsid w:val="6B207DC0"/>
    <w:rsid w:val="6B2309E8"/>
    <w:rsid w:val="6B5C3B5E"/>
    <w:rsid w:val="6B623157"/>
    <w:rsid w:val="6B8E0A5B"/>
    <w:rsid w:val="6BB5292C"/>
    <w:rsid w:val="6BB52E88"/>
    <w:rsid w:val="6BBA7A31"/>
    <w:rsid w:val="6BD03B6C"/>
    <w:rsid w:val="6BE275A5"/>
    <w:rsid w:val="6BF21BDD"/>
    <w:rsid w:val="6BFE5681"/>
    <w:rsid w:val="6C003719"/>
    <w:rsid w:val="6C0E4559"/>
    <w:rsid w:val="6C351173"/>
    <w:rsid w:val="6C482D12"/>
    <w:rsid w:val="6C722724"/>
    <w:rsid w:val="6C8125DB"/>
    <w:rsid w:val="6CAB75B5"/>
    <w:rsid w:val="6CAD25CB"/>
    <w:rsid w:val="6CB413CD"/>
    <w:rsid w:val="6CC2357C"/>
    <w:rsid w:val="6D1D52EB"/>
    <w:rsid w:val="6D29603F"/>
    <w:rsid w:val="6D2C38E0"/>
    <w:rsid w:val="6D3C59F4"/>
    <w:rsid w:val="6D497FB0"/>
    <w:rsid w:val="6D4E25A1"/>
    <w:rsid w:val="6D4F7F07"/>
    <w:rsid w:val="6D56084F"/>
    <w:rsid w:val="6D5622F7"/>
    <w:rsid w:val="6D565B8F"/>
    <w:rsid w:val="6D6A202B"/>
    <w:rsid w:val="6D6D2328"/>
    <w:rsid w:val="6D7D48C4"/>
    <w:rsid w:val="6D8D7AC6"/>
    <w:rsid w:val="6D8E290A"/>
    <w:rsid w:val="6DA5549B"/>
    <w:rsid w:val="6DCB18C7"/>
    <w:rsid w:val="6DCC0A06"/>
    <w:rsid w:val="6DCC4D4B"/>
    <w:rsid w:val="6DD7190C"/>
    <w:rsid w:val="6DDD74C8"/>
    <w:rsid w:val="6DEE2E46"/>
    <w:rsid w:val="6E3622C0"/>
    <w:rsid w:val="6E4C627F"/>
    <w:rsid w:val="6E751798"/>
    <w:rsid w:val="6E810801"/>
    <w:rsid w:val="6EA43553"/>
    <w:rsid w:val="6EA46D2C"/>
    <w:rsid w:val="6EDB653C"/>
    <w:rsid w:val="6EF973BE"/>
    <w:rsid w:val="6EF97AB4"/>
    <w:rsid w:val="6F145592"/>
    <w:rsid w:val="6F19510C"/>
    <w:rsid w:val="6F1D7502"/>
    <w:rsid w:val="6F2E4956"/>
    <w:rsid w:val="6F4A790C"/>
    <w:rsid w:val="6F544EBB"/>
    <w:rsid w:val="6F66106E"/>
    <w:rsid w:val="6F6847B6"/>
    <w:rsid w:val="6F7A0C31"/>
    <w:rsid w:val="6F7C396C"/>
    <w:rsid w:val="6F86093B"/>
    <w:rsid w:val="6F8E3411"/>
    <w:rsid w:val="6F9507F8"/>
    <w:rsid w:val="6F995D28"/>
    <w:rsid w:val="6FAE7049"/>
    <w:rsid w:val="6FD402C3"/>
    <w:rsid w:val="6FE500FA"/>
    <w:rsid w:val="70030E44"/>
    <w:rsid w:val="70045D8D"/>
    <w:rsid w:val="701B016D"/>
    <w:rsid w:val="70221FB4"/>
    <w:rsid w:val="705F1B46"/>
    <w:rsid w:val="707374A5"/>
    <w:rsid w:val="70764597"/>
    <w:rsid w:val="707B7283"/>
    <w:rsid w:val="708550D2"/>
    <w:rsid w:val="70950BB0"/>
    <w:rsid w:val="70B6298C"/>
    <w:rsid w:val="70DA752D"/>
    <w:rsid w:val="70E0528F"/>
    <w:rsid w:val="70F0132F"/>
    <w:rsid w:val="710F43CB"/>
    <w:rsid w:val="711478AB"/>
    <w:rsid w:val="713C465C"/>
    <w:rsid w:val="713F50EE"/>
    <w:rsid w:val="71453707"/>
    <w:rsid w:val="7180039B"/>
    <w:rsid w:val="71AC689B"/>
    <w:rsid w:val="71D35F7A"/>
    <w:rsid w:val="71E943A7"/>
    <w:rsid w:val="71F60490"/>
    <w:rsid w:val="720E32C5"/>
    <w:rsid w:val="721A3D76"/>
    <w:rsid w:val="72231166"/>
    <w:rsid w:val="723972BB"/>
    <w:rsid w:val="72523A34"/>
    <w:rsid w:val="728B63C2"/>
    <w:rsid w:val="728C6D2A"/>
    <w:rsid w:val="7293058D"/>
    <w:rsid w:val="72984BE3"/>
    <w:rsid w:val="72B05249"/>
    <w:rsid w:val="72D02595"/>
    <w:rsid w:val="72E457B3"/>
    <w:rsid w:val="72E74ADC"/>
    <w:rsid w:val="72EA36B2"/>
    <w:rsid w:val="72FF202A"/>
    <w:rsid w:val="73010397"/>
    <w:rsid w:val="731227C6"/>
    <w:rsid w:val="735C0C2F"/>
    <w:rsid w:val="735F155C"/>
    <w:rsid w:val="73605FC2"/>
    <w:rsid w:val="736406A0"/>
    <w:rsid w:val="73B80C6C"/>
    <w:rsid w:val="73B90784"/>
    <w:rsid w:val="73BC1BB5"/>
    <w:rsid w:val="73EA4AF0"/>
    <w:rsid w:val="73ED6633"/>
    <w:rsid w:val="740261EC"/>
    <w:rsid w:val="741A01F2"/>
    <w:rsid w:val="741F2B1E"/>
    <w:rsid w:val="74223167"/>
    <w:rsid w:val="74601EEF"/>
    <w:rsid w:val="7463505C"/>
    <w:rsid w:val="746B6140"/>
    <w:rsid w:val="748B68E7"/>
    <w:rsid w:val="748E1A13"/>
    <w:rsid w:val="74972499"/>
    <w:rsid w:val="749A357B"/>
    <w:rsid w:val="749C3E2F"/>
    <w:rsid w:val="74AD3EE2"/>
    <w:rsid w:val="74DA6581"/>
    <w:rsid w:val="750A5AD6"/>
    <w:rsid w:val="7510342E"/>
    <w:rsid w:val="751034C4"/>
    <w:rsid w:val="75107ECB"/>
    <w:rsid w:val="753E74BE"/>
    <w:rsid w:val="754334E3"/>
    <w:rsid w:val="754400B3"/>
    <w:rsid w:val="756018D0"/>
    <w:rsid w:val="756812FC"/>
    <w:rsid w:val="75686698"/>
    <w:rsid w:val="75CC16A7"/>
    <w:rsid w:val="75D5533F"/>
    <w:rsid w:val="75F47354"/>
    <w:rsid w:val="75F51864"/>
    <w:rsid w:val="7611183D"/>
    <w:rsid w:val="76221738"/>
    <w:rsid w:val="76502B51"/>
    <w:rsid w:val="76640DAA"/>
    <w:rsid w:val="766650C0"/>
    <w:rsid w:val="766A33B0"/>
    <w:rsid w:val="766B3B06"/>
    <w:rsid w:val="766F083D"/>
    <w:rsid w:val="768B0A63"/>
    <w:rsid w:val="76916718"/>
    <w:rsid w:val="769A60D5"/>
    <w:rsid w:val="76A6607C"/>
    <w:rsid w:val="76AD109B"/>
    <w:rsid w:val="76B43851"/>
    <w:rsid w:val="76C70969"/>
    <w:rsid w:val="76C94F7F"/>
    <w:rsid w:val="76CC233E"/>
    <w:rsid w:val="76F46CEF"/>
    <w:rsid w:val="76FC4A4D"/>
    <w:rsid w:val="77124856"/>
    <w:rsid w:val="77231CAC"/>
    <w:rsid w:val="77267B47"/>
    <w:rsid w:val="77300305"/>
    <w:rsid w:val="77330127"/>
    <w:rsid w:val="775B2B16"/>
    <w:rsid w:val="77837B35"/>
    <w:rsid w:val="77903CAB"/>
    <w:rsid w:val="779738BA"/>
    <w:rsid w:val="77A06E9C"/>
    <w:rsid w:val="77CD7E0A"/>
    <w:rsid w:val="77CF69C3"/>
    <w:rsid w:val="77DB623A"/>
    <w:rsid w:val="77EC562C"/>
    <w:rsid w:val="77ED0636"/>
    <w:rsid w:val="77F179FF"/>
    <w:rsid w:val="77F3213A"/>
    <w:rsid w:val="77F516A0"/>
    <w:rsid w:val="77F8518C"/>
    <w:rsid w:val="78073000"/>
    <w:rsid w:val="78092DC2"/>
    <w:rsid w:val="781413DD"/>
    <w:rsid w:val="7828164F"/>
    <w:rsid w:val="782A73EC"/>
    <w:rsid w:val="78364135"/>
    <w:rsid w:val="78386692"/>
    <w:rsid w:val="783D071C"/>
    <w:rsid w:val="78717C24"/>
    <w:rsid w:val="788475BD"/>
    <w:rsid w:val="788D73CE"/>
    <w:rsid w:val="7896463B"/>
    <w:rsid w:val="78A12BDD"/>
    <w:rsid w:val="78A42490"/>
    <w:rsid w:val="78A773A8"/>
    <w:rsid w:val="78AA543C"/>
    <w:rsid w:val="78B25781"/>
    <w:rsid w:val="78BB5F86"/>
    <w:rsid w:val="78E06AC8"/>
    <w:rsid w:val="78E111F1"/>
    <w:rsid w:val="78E25081"/>
    <w:rsid w:val="78EB231E"/>
    <w:rsid w:val="78F926A4"/>
    <w:rsid w:val="7902278B"/>
    <w:rsid w:val="79551F18"/>
    <w:rsid w:val="796126CF"/>
    <w:rsid w:val="7975780A"/>
    <w:rsid w:val="798A6009"/>
    <w:rsid w:val="79962ABC"/>
    <w:rsid w:val="799820D1"/>
    <w:rsid w:val="79AE23D6"/>
    <w:rsid w:val="79BA23AD"/>
    <w:rsid w:val="79E0766B"/>
    <w:rsid w:val="79EC5087"/>
    <w:rsid w:val="79F76887"/>
    <w:rsid w:val="7A0E1D88"/>
    <w:rsid w:val="7A187739"/>
    <w:rsid w:val="7A375039"/>
    <w:rsid w:val="7A564BF9"/>
    <w:rsid w:val="7A5C64DE"/>
    <w:rsid w:val="7A7334BD"/>
    <w:rsid w:val="7A7C15B5"/>
    <w:rsid w:val="7A8A4FDA"/>
    <w:rsid w:val="7A8F5659"/>
    <w:rsid w:val="7AAB7CE1"/>
    <w:rsid w:val="7AB2433E"/>
    <w:rsid w:val="7AB4304C"/>
    <w:rsid w:val="7AC467B6"/>
    <w:rsid w:val="7AC5489A"/>
    <w:rsid w:val="7AE53256"/>
    <w:rsid w:val="7AFA131C"/>
    <w:rsid w:val="7B000BF2"/>
    <w:rsid w:val="7B0D2F81"/>
    <w:rsid w:val="7B10339F"/>
    <w:rsid w:val="7B242334"/>
    <w:rsid w:val="7B2A5E3E"/>
    <w:rsid w:val="7B37741B"/>
    <w:rsid w:val="7B4608A0"/>
    <w:rsid w:val="7B497017"/>
    <w:rsid w:val="7B4D33D3"/>
    <w:rsid w:val="7B4E2DC3"/>
    <w:rsid w:val="7B7B1B02"/>
    <w:rsid w:val="7B850A58"/>
    <w:rsid w:val="7B882624"/>
    <w:rsid w:val="7B8F60B2"/>
    <w:rsid w:val="7B9D3360"/>
    <w:rsid w:val="7B9F58DA"/>
    <w:rsid w:val="7BC47C76"/>
    <w:rsid w:val="7BDF1708"/>
    <w:rsid w:val="7BFC26D7"/>
    <w:rsid w:val="7C012328"/>
    <w:rsid w:val="7C0A26D3"/>
    <w:rsid w:val="7C2D61F5"/>
    <w:rsid w:val="7C3305C9"/>
    <w:rsid w:val="7C34008A"/>
    <w:rsid w:val="7C533C06"/>
    <w:rsid w:val="7C540AC4"/>
    <w:rsid w:val="7C565BAC"/>
    <w:rsid w:val="7C590401"/>
    <w:rsid w:val="7C680C97"/>
    <w:rsid w:val="7C721C1A"/>
    <w:rsid w:val="7C7B016D"/>
    <w:rsid w:val="7C8A0EB5"/>
    <w:rsid w:val="7C8A5EC0"/>
    <w:rsid w:val="7C8B48A9"/>
    <w:rsid w:val="7CDD023C"/>
    <w:rsid w:val="7CE33F7E"/>
    <w:rsid w:val="7CE855C3"/>
    <w:rsid w:val="7CEA0E20"/>
    <w:rsid w:val="7CEA2892"/>
    <w:rsid w:val="7D3C1061"/>
    <w:rsid w:val="7D4735BE"/>
    <w:rsid w:val="7D6B7EC7"/>
    <w:rsid w:val="7D985CDB"/>
    <w:rsid w:val="7DA35DA8"/>
    <w:rsid w:val="7DAB27C9"/>
    <w:rsid w:val="7DD41AF8"/>
    <w:rsid w:val="7DD5148A"/>
    <w:rsid w:val="7DE36BF8"/>
    <w:rsid w:val="7DE4647D"/>
    <w:rsid w:val="7DEA1655"/>
    <w:rsid w:val="7E022199"/>
    <w:rsid w:val="7E0713A0"/>
    <w:rsid w:val="7E223902"/>
    <w:rsid w:val="7E266DF8"/>
    <w:rsid w:val="7E424885"/>
    <w:rsid w:val="7E497AF0"/>
    <w:rsid w:val="7E4F4F34"/>
    <w:rsid w:val="7E5D2686"/>
    <w:rsid w:val="7E6622F5"/>
    <w:rsid w:val="7E780ECF"/>
    <w:rsid w:val="7EAA2F10"/>
    <w:rsid w:val="7EBE5F69"/>
    <w:rsid w:val="7ED46A74"/>
    <w:rsid w:val="7EEF5376"/>
    <w:rsid w:val="7F0236EF"/>
    <w:rsid w:val="7F0F4D4B"/>
    <w:rsid w:val="7F202782"/>
    <w:rsid w:val="7F2D3FC8"/>
    <w:rsid w:val="7F2F09B1"/>
    <w:rsid w:val="7F567090"/>
    <w:rsid w:val="7F5E5C21"/>
    <w:rsid w:val="7F675B10"/>
    <w:rsid w:val="7F6F603C"/>
    <w:rsid w:val="7FA20F48"/>
    <w:rsid w:val="7FA509C3"/>
    <w:rsid w:val="7FC47EC7"/>
    <w:rsid w:val="7FDE1EB2"/>
    <w:rsid w:val="7FF64246"/>
    <w:rsid w:val="7FFA5B0E"/>
    <w:rsid w:val="7FFA6280"/>
    <w:rsid w:val="7FFC0522"/>
    <w:rsid w:val="7FFD797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Style w:val="7"/>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2025-04-10T08:17:00Z</dcterms:created>
  <dc:creator>杨慧祺</dc:creator>
  <cp:lastModifiedBy>宋伊琳</cp:lastModifiedBy>
  <dcterms:modified xsi:type="dcterms:W3CDTF">2025-09-12T03:28:05Z</dcterms:modified>
  <dc:title>非银行支付机构终止审批</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2052-9.1.0.4797</vt:lpwstr>
  </property>
  <property fmtid="{D5CDD505-2E9C-101B-9397-08002B2CF9AE}" pid="3" name="ICV">
    <vt:lpwstr>B671CA643138457F9895B1D895148572</vt:lpwstr>
  </property>
</Properties>
</file>