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非银行支付机构变更董事、监事或者</w:t>
      </w:r>
    </w:p>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高级管理人员审批</w:t>
      </w:r>
    </w:p>
    <w:p>
      <w:pPr>
        <w:numPr>
          <w:numId w:val="0"/>
        </w:numPr>
        <w:wordWrap/>
        <w:adjustRightInd/>
        <w:snapToGrid/>
        <w:spacing w:line="560" w:lineRule="exact"/>
        <w:textAlignment w:val="auto"/>
        <w:rPr>
          <w:rFonts w:hint="eastAsia" w:ascii="黑体" w:hAnsi="黑体" w:eastAsia="黑体" w:cs="黑体"/>
          <w:sz w:val="32"/>
          <w:szCs w:val="32"/>
          <w:lang w:val="en-US" w:eastAsia="zh-CN"/>
        </w:rPr>
      </w:pP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行政许可事项</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sz w:val="32"/>
          <w:szCs w:val="32"/>
          <w:lang w:val="en-US"/>
        </w:rPr>
        <w:t>非银行支付机构变更董事、监事或者高级管理人员审批</w:t>
      </w:r>
      <w:r>
        <w:rPr>
          <w:rFonts w:hint="eastAsia" w:ascii="仿宋_GB2312" w:hAnsi="仿宋_GB2312" w:eastAsia="仿宋_GB2312" w:cs="仿宋_GB2312"/>
          <w:strike w:val="0"/>
          <w:dstrike w:val="0"/>
          <w:sz w:val="32"/>
          <w:szCs w:val="32"/>
          <w:lang w:val="en-US" w:eastAsia="zh-CN"/>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适用范围</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right="0" w:firstLine="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highlight w:val="none"/>
          <w:lang w:eastAsia="zh-CN"/>
        </w:rPr>
        <w:t>住所所在地位于广西壮族自治区</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的系统重要性非银行支付机构变更董事、监事或者高级管理人员的</w:t>
      </w:r>
      <w:r>
        <w:rPr>
          <w:rFonts w:hint="eastAsia" w:ascii="仿宋_GB2312" w:hAnsi="仿宋_GB2312" w:eastAsia="仿宋_GB2312" w:cs="仿宋_GB2312"/>
          <w:sz w:val="32"/>
          <w:szCs w:val="32"/>
          <w:highlight w:val="none"/>
        </w:rPr>
        <w:t>申请受理和初审办理</w:t>
      </w:r>
      <w:r>
        <w:rPr>
          <w:rFonts w:hint="eastAsia" w:ascii="仿宋_GB2312" w:hAnsi="仿宋_GB2312" w:eastAsia="仿宋_GB2312" w:cs="仿宋_GB2312"/>
          <w:sz w:val="32"/>
          <w:szCs w:val="32"/>
          <w:highlight w:val="none"/>
          <w:lang w:eastAsia="zh-CN"/>
        </w:rPr>
        <w:t>，以及非系统重要性非银行支付机构变更董事、监事或者高级管理人员的</w:t>
      </w:r>
      <w:r>
        <w:rPr>
          <w:rFonts w:hint="eastAsia" w:ascii="仿宋_GB2312" w:hAnsi="仿宋_GB2312" w:eastAsia="仿宋_GB2312" w:cs="仿宋_GB2312"/>
          <w:sz w:val="32"/>
          <w:szCs w:val="32"/>
          <w:highlight w:val="none"/>
        </w:rPr>
        <w:t>申请受理</w:t>
      </w:r>
      <w:r>
        <w:rPr>
          <w:rFonts w:hint="eastAsia" w:ascii="仿宋_GB2312" w:hAnsi="仿宋_GB2312" w:eastAsia="仿宋_GB2312" w:cs="仿宋_GB2312"/>
          <w:sz w:val="32"/>
          <w:szCs w:val="32"/>
          <w:highlight w:val="none"/>
          <w:lang w:eastAsia="zh-CN"/>
        </w:rPr>
        <w:t>、审查和决定。</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审查类型</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前审后批</w:t>
      </w:r>
      <w:r>
        <w:rPr>
          <w:rFonts w:hint="eastAsia" w:ascii="仿宋_GB2312" w:hAnsi="仿宋_GB2312" w:eastAsia="仿宋_GB2312" w:cs="仿宋_GB2312"/>
          <w:color w:val="auto"/>
          <w:sz w:val="32"/>
          <w:szCs w:val="32"/>
          <w:lang w:eastAsia="zh-CN"/>
        </w:rPr>
        <w:t>。</w:t>
      </w:r>
    </w:p>
    <w:p>
      <w:pPr>
        <w:numPr>
          <w:ilvl w:val="0"/>
          <w:numId w:val="1"/>
        </w:numPr>
        <w:wordWrap/>
        <w:spacing w:beforeLines="0" w:afterLines="0" w:line="560" w:lineRule="exact"/>
        <w:ind w:firstLine="0" w:firstLineChars="200"/>
        <w:rPr>
          <w:rFonts w:hint="eastAsia" w:ascii="黑体" w:hAnsi="黑体" w:eastAsia="黑体" w:cs="黑体"/>
          <w:bCs w:val="0"/>
          <w:sz w:val="32"/>
          <w:szCs w:val="32"/>
        </w:rPr>
      </w:pPr>
      <w:r>
        <w:rPr>
          <w:rFonts w:hint="eastAsia" w:ascii="黑体" w:hAnsi="黑体" w:eastAsia="黑体" w:cs="黑体"/>
          <w:bCs/>
          <w:sz w:val="32"/>
          <w:szCs w:val="32"/>
        </w:rPr>
        <w:t>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wordWrap/>
        <w:spacing w:beforeLines="0" w:afterLines="0" w:line="560" w:lineRule="exact"/>
        <w:ind w:firstLine="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wordWrap/>
        <w:spacing w:beforeLines="0" w:afterLines="0" w:line="560" w:lineRule="exact"/>
        <w:ind w:firstLine="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（二）《中华人民共和国行政许可法》</w:t>
      </w:r>
      <w:r>
        <w:rPr>
          <w:rFonts w:hint="eastAsia" w:ascii="仿宋_GB2312" w:hAnsi="仿宋_GB2312" w:eastAsia="仿宋_GB2312" w:cs="仿宋_GB2312"/>
          <w:sz w:val="32"/>
          <w:szCs w:val="32"/>
          <w:lang w:eastAsia="zh-CN"/>
        </w:rPr>
        <w:t>；</w:t>
      </w:r>
    </w:p>
    <w:p>
      <w:pPr>
        <w:wordWrap/>
        <w:spacing w:beforeLines="0" w:afterLines="0" w:line="560" w:lineRule="exact"/>
        <w:ind w:firstLine="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ordWrap/>
        <w:spacing w:beforeLines="0" w:afterLines="0" w:line="560" w:lineRule="exact"/>
        <w:ind w:firstLine="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sz w:val="32"/>
          <w:szCs w:val="32"/>
        </w:rPr>
        <w:t>布）</w:t>
      </w:r>
      <w:r>
        <w:rPr>
          <w:rFonts w:hint="eastAsia" w:ascii="仿宋_GB2312" w:hAnsi="仿宋_GB2312" w:eastAsia="仿宋_GB2312" w:cs="仿宋_GB2312"/>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val="en-US" w:eastAsia="zh-CN"/>
        </w:rPr>
        <w:t>广西壮族自治区分行。</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审核机构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eastAsia="zh-CN"/>
        </w:rPr>
        <w:t>申请人为系统重要性非银行支付机构的，由</w:t>
      </w:r>
      <w:r>
        <w:rPr>
          <w:rFonts w:hint="eastAsia" w:ascii="仿宋_GB2312" w:hAnsi="仿宋_GB2312" w:eastAsia="仿宋_GB2312" w:cs="仿宋_GB2312"/>
          <w:color w:val="auto"/>
          <w:sz w:val="32"/>
          <w:szCs w:val="32"/>
        </w:rPr>
        <w:t>中国人民银行广西壮族自治区分行初审、中国人民银行复审。</w:t>
      </w:r>
      <w:r>
        <w:rPr>
          <w:rFonts w:hint="eastAsia" w:ascii="仿宋" w:hAnsi="仿宋" w:eastAsia="仿宋" w:cs="仿宋"/>
          <w:color w:val="auto"/>
          <w:sz w:val="32"/>
          <w:szCs w:val="32"/>
          <w:lang w:eastAsia="zh-CN"/>
        </w:rPr>
        <w:t>申请人为非</w:t>
      </w:r>
      <w:r>
        <w:rPr>
          <w:rFonts w:hint="eastAsia" w:ascii="仿宋" w:hAnsi="仿宋" w:eastAsia="仿宋" w:cs="仿宋"/>
          <w:sz w:val="32"/>
          <w:szCs w:val="32"/>
          <w:highlight w:val="none"/>
          <w:lang w:eastAsia="zh-CN"/>
        </w:rPr>
        <w:t>系统重要性非银行支付机构的由</w:t>
      </w:r>
      <w:r>
        <w:rPr>
          <w:rFonts w:hint="eastAsia" w:ascii="仿宋" w:hAnsi="仿宋" w:eastAsia="仿宋" w:cs="仿宋"/>
          <w:color w:val="auto"/>
          <w:sz w:val="32"/>
          <w:szCs w:val="32"/>
        </w:rPr>
        <w:t>中国人民银行</w:t>
      </w:r>
      <w:r>
        <w:rPr>
          <w:rFonts w:hint="eastAsia" w:ascii="仿宋" w:hAnsi="仿宋" w:eastAsia="仿宋" w:cs="仿宋"/>
          <w:color w:val="auto"/>
          <w:sz w:val="32"/>
          <w:szCs w:val="32"/>
          <w:highlight w:val="none"/>
          <w:lang w:val="en-US" w:eastAsia="zh-CN"/>
        </w:rPr>
        <w:t>广西壮族自治区分行</w:t>
      </w:r>
      <w:r>
        <w:rPr>
          <w:rFonts w:hint="eastAsia" w:ascii="仿宋" w:hAnsi="仿宋" w:eastAsia="仿宋" w:cs="仿宋"/>
          <w:color w:val="auto"/>
          <w:sz w:val="32"/>
          <w:szCs w:val="32"/>
          <w:highlight w:val="none"/>
          <w:lang w:eastAsia="zh-CN"/>
        </w:rPr>
        <w:t>审核。</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决定机构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highlight w:val="none"/>
          <w:lang w:eastAsia="zh-CN"/>
        </w:rPr>
        <w:t>申请人为系统重要性非银行支付机构的由</w:t>
      </w:r>
      <w:r>
        <w:rPr>
          <w:rFonts w:hint="eastAsia" w:ascii="仿宋" w:hAnsi="仿宋" w:eastAsia="仿宋" w:cs="仿宋"/>
          <w:color w:val="auto"/>
          <w:sz w:val="32"/>
          <w:szCs w:val="32"/>
        </w:rPr>
        <w:t>中国人民银行</w:t>
      </w:r>
      <w:r>
        <w:rPr>
          <w:rFonts w:hint="eastAsia" w:ascii="仿宋" w:hAnsi="仿宋" w:eastAsia="仿宋" w:cs="仿宋"/>
          <w:color w:val="auto"/>
          <w:sz w:val="32"/>
          <w:szCs w:val="32"/>
          <w:lang w:eastAsia="zh-CN"/>
        </w:rPr>
        <w:t>决定，申请人为非</w:t>
      </w:r>
      <w:r>
        <w:rPr>
          <w:rFonts w:hint="eastAsia" w:ascii="仿宋" w:hAnsi="仿宋" w:eastAsia="仿宋" w:cs="仿宋"/>
          <w:sz w:val="32"/>
          <w:szCs w:val="32"/>
          <w:highlight w:val="none"/>
          <w:lang w:eastAsia="zh-CN"/>
        </w:rPr>
        <w:t>系统重要性非银行支付机构的由</w:t>
      </w:r>
      <w:r>
        <w:rPr>
          <w:rFonts w:hint="eastAsia" w:ascii="仿宋" w:hAnsi="仿宋" w:eastAsia="仿宋" w:cs="仿宋"/>
          <w:color w:val="auto"/>
          <w:sz w:val="32"/>
          <w:szCs w:val="32"/>
        </w:rPr>
        <w:t>中国人民银行</w:t>
      </w:r>
      <w:r>
        <w:rPr>
          <w:rFonts w:hint="eastAsia" w:ascii="仿宋" w:hAnsi="仿宋" w:eastAsia="仿宋" w:cs="仿宋"/>
          <w:color w:val="auto"/>
          <w:sz w:val="32"/>
          <w:szCs w:val="32"/>
          <w:highlight w:val="none"/>
          <w:lang w:val="en-US" w:eastAsia="zh-CN"/>
        </w:rPr>
        <w:t>广西壮族自治区分行</w:t>
      </w:r>
      <w:r>
        <w:rPr>
          <w:rFonts w:hint="eastAsia" w:ascii="仿宋" w:hAnsi="仿宋" w:eastAsia="仿宋" w:cs="仿宋"/>
          <w:color w:val="auto"/>
          <w:sz w:val="32"/>
          <w:szCs w:val="32"/>
          <w:highlight w:val="none"/>
          <w:lang w:eastAsia="zh-CN"/>
        </w:rPr>
        <w:t>决定。</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数量限制</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无数量限制。</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行政许可条件</w:t>
      </w:r>
    </w:p>
    <w:p>
      <w:pPr>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（一）申请人条件</w:t>
      </w:r>
      <w:r>
        <w:rPr>
          <w:rFonts w:hint="eastAsia" w:ascii="楷体_GB2312" w:hAnsi="楷体_GB2312" w:eastAsia="楷体_GB2312" w:cs="楷体_GB2312"/>
          <w:sz w:val="32"/>
          <w:szCs w:val="32"/>
          <w:lang w:eastAsia="zh-CN"/>
        </w:rPr>
        <w:t>。</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hAnsi="仿宋_GB2312" w:cs="仿宋_GB2312"/>
          <w:sz w:val="32"/>
          <w:szCs w:val="32"/>
        </w:rPr>
      </w:pPr>
      <w:r>
        <w:rPr>
          <w:rFonts w:hint="eastAsia" w:hAnsi="仿宋_GB2312" w:cs="仿宋_GB2312"/>
          <w:sz w:val="32"/>
          <w:szCs w:val="32"/>
          <w:lang w:eastAsia="zh-CN"/>
        </w:rPr>
        <w:t>1</w:t>
      </w:r>
      <w:r>
        <w:rPr>
          <w:rFonts w:hint="eastAsia" w:hAnsi="仿宋_GB2312" w:cs="仿宋_GB2312"/>
          <w:sz w:val="32"/>
          <w:szCs w:val="32"/>
          <w:lang w:val="en-US" w:eastAsia="zh-CN"/>
        </w:rPr>
        <w:t>.</w:t>
      </w:r>
      <w:r>
        <w:rPr>
          <w:rFonts w:hint="eastAsia" w:ascii="仿宋_GB2312" w:hAnsi="仿宋_GB2312" w:eastAsia="仿宋_GB2312" w:cs="仿宋_GB2312"/>
          <w:sz w:val="32"/>
          <w:szCs w:val="32"/>
        </w:rPr>
        <w:t>拟变更后的董事、监事或者高级管理人员</w:t>
      </w:r>
      <w:r>
        <w:rPr>
          <w:rFonts w:hint="eastAsia" w:hAnsi="仿宋_GB2312" w:cs="仿宋_GB2312"/>
          <w:sz w:val="32"/>
          <w:szCs w:val="32"/>
        </w:rPr>
        <w:t>，应当符合下列条件：</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hAnsi="仿宋_GB2312" w:cs="仿宋_GB2312"/>
          <w:sz w:val="32"/>
          <w:szCs w:val="32"/>
        </w:rPr>
      </w:pPr>
      <w:r>
        <w:rPr>
          <w:rFonts w:hint="eastAsia" w:hAnsi="仿宋_GB2312" w:cs="仿宋_GB2312"/>
          <w:sz w:val="32"/>
          <w:szCs w:val="32"/>
        </w:rPr>
        <w:t>（</w:t>
      </w:r>
      <w:r>
        <w:rPr>
          <w:rFonts w:hint="eastAsia" w:hAnsi="仿宋_GB2312" w:cs="仿宋_GB2312"/>
          <w:sz w:val="32"/>
          <w:szCs w:val="32"/>
          <w:lang w:eastAsia="zh-CN"/>
        </w:rPr>
        <w:t>1</w:t>
      </w:r>
      <w:r>
        <w:rPr>
          <w:rFonts w:hint="eastAsia" w:hAnsi="仿宋_GB2312" w:cs="仿宋_GB2312"/>
          <w:sz w:val="32"/>
          <w:szCs w:val="32"/>
        </w:rPr>
        <w:t>）熟悉与支付业务相关的制度文件。</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hAnsi="仿宋_GB2312" w:cs="仿宋_GB2312"/>
          <w:sz w:val="32"/>
          <w:szCs w:val="32"/>
        </w:rPr>
      </w:pPr>
      <w:r>
        <w:rPr>
          <w:rFonts w:hint="eastAsia" w:hAnsi="仿宋_GB2312" w:cs="仿宋_GB2312"/>
          <w:sz w:val="32"/>
          <w:szCs w:val="32"/>
        </w:rPr>
        <w:t>（</w:t>
      </w:r>
      <w:r>
        <w:rPr>
          <w:rFonts w:hint="eastAsia" w:hAnsi="仿宋_GB2312" w:cs="仿宋_GB2312"/>
          <w:sz w:val="32"/>
          <w:szCs w:val="32"/>
          <w:lang w:eastAsia="zh-CN"/>
        </w:rPr>
        <w:t>2</w:t>
      </w:r>
      <w:r>
        <w:rPr>
          <w:rFonts w:hint="eastAsia" w:hAnsi="仿宋_GB2312" w:cs="仿宋_GB2312"/>
          <w:sz w:val="32"/>
          <w:szCs w:val="32"/>
        </w:rPr>
        <w:t>）具有履行职责所需的经营管理能力，包括具有担任拟任职务所需的独立性、良好的从业记录等。高级管理人员还应当具有大学本科以上学历，从事支付结算、金融、信息处理业务2年以上或者从事会计、经济、信息科技、法律工作3年以上。</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hAnsi="仿宋_GB2312" w:cs="仿宋_GB2312"/>
          <w:sz w:val="32"/>
          <w:szCs w:val="32"/>
        </w:rPr>
      </w:pPr>
      <w:r>
        <w:rPr>
          <w:rFonts w:hint="eastAsia" w:hAnsi="仿宋_GB2312" w:cs="仿宋_GB2312"/>
          <w:sz w:val="32"/>
          <w:szCs w:val="32"/>
        </w:rPr>
        <w:t>（</w:t>
      </w:r>
      <w:r>
        <w:rPr>
          <w:rFonts w:hint="eastAsia" w:hAnsi="仿宋_GB2312" w:cs="仿宋_GB2312"/>
          <w:sz w:val="32"/>
          <w:szCs w:val="32"/>
          <w:lang w:eastAsia="zh-CN"/>
        </w:rPr>
        <w:t>3</w:t>
      </w:r>
      <w:r>
        <w:rPr>
          <w:rFonts w:hint="eastAsia" w:hAnsi="仿宋_GB2312" w:cs="仿宋_GB2312"/>
          <w:sz w:val="32"/>
          <w:szCs w:val="32"/>
        </w:rPr>
        <w:t>）最近3年诚信记录良好且无重大违法违规记录。</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hAnsi="仿宋_GB2312" w:cs="仿宋_GB2312"/>
          <w:sz w:val="32"/>
          <w:szCs w:val="32"/>
        </w:rPr>
      </w:pPr>
      <w:r>
        <w:rPr>
          <w:rFonts w:hint="eastAsia" w:hAnsi="仿宋_GB2312" w:cs="仿宋_GB2312"/>
          <w:sz w:val="32"/>
          <w:szCs w:val="32"/>
        </w:rPr>
        <w:t>（</w:t>
      </w:r>
      <w:r>
        <w:rPr>
          <w:rFonts w:hint="eastAsia" w:hAnsi="仿宋_GB2312" w:cs="仿宋_GB2312"/>
          <w:sz w:val="32"/>
          <w:szCs w:val="32"/>
          <w:lang w:eastAsia="zh-CN"/>
        </w:rPr>
        <w:t>4</w:t>
      </w:r>
      <w:r>
        <w:rPr>
          <w:rFonts w:hint="eastAsia" w:hAnsi="仿宋_GB2312" w:cs="仿宋_GB2312"/>
          <w:sz w:val="32"/>
          <w:szCs w:val="32"/>
        </w:rPr>
        <w:t>）不存在《中华人民共和国公司法》规定的不得担任公司董事、监事和高级管理人员的情形。</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hAnsi="仿宋_GB2312" w:cs="仿宋_GB2312"/>
          <w:sz w:val="32"/>
          <w:szCs w:val="32"/>
        </w:rPr>
      </w:pPr>
      <w:r>
        <w:rPr>
          <w:rFonts w:hint="eastAsia" w:hAnsi="仿宋_GB2312" w:cs="仿宋_GB2312"/>
          <w:sz w:val="32"/>
          <w:szCs w:val="32"/>
        </w:rPr>
        <w:t>前款所称高级管理人员，包括总经理、副总经理、财务负责人、技术负责人、合规风控负责人或者实际履行上述职责的人员。非银行支付机构应当具有5名以上高级管理人员。</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sz w:val="32"/>
          <w:szCs w:val="32"/>
        </w:rPr>
      </w:pPr>
      <w:r>
        <w:rPr>
          <w:rFonts w:hint="eastAsia" w:hAnsi="仿宋_GB2312" w:cs="仿宋_GB2312"/>
          <w:sz w:val="32"/>
          <w:szCs w:val="32"/>
          <w:lang w:eastAsia="zh-CN"/>
        </w:rPr>
        <w:t>2</w:t>
      </w:r>
      <w:r>
        <w:rPr>
          <w:rFonts w:hint="eastAsia" w:hAnsi="仿宋_GB2312" w:cs="仿宋_GB2312"/>
          <w:sz w:val="32"/>
          <w:szCs w:val="32"/>
          <w:lang w:val="en-US" w:eastAsia="zh-CN"/>
        </w:rPr>
        <w:t>.</w:t>
      </w:r>
      <w:r>
        <w:rPr>
          <w:rFonts w:hint="eastAsia" w:ascii="仿宋_GB2312" w:hAnsi="仿宋_GB2312" w:eastAsia="仿宋_GB2312" w:cs="仿宋_GB2312"/>
          <w:sz w:val="32"/>
          <w:szCs w:val="32"/>
        </w:rPr>
        <w:t>最近3年无重大违法违规记录，中国人民银行及其分支机构根据审慎监管原则，责令非银行支付机构调整董事、监事或者高级管理人员的除外。</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sz w:val="32"/>
          <w:szCs w:val="32"/>
        </w:rPr>
      </w:pPr>
      <w:r>
        <w:rPr>
          <w:rFonts w:hint="eastAsia" w:hAnsi="仿宋_GB2312" w:cs="仿宋_GB2312"/>
          <w:sz w:val="32"/>
          <w:szCs w:val="32"/>
          <w:lang w:eastAsia="zh-CN"/>
        </w:rPr>
        <w:t>3</w:t>
      </w:r>
      <w:r>
        <w:rPr>
          <w:rFonts w:hint="eastAsia" w:hAnsi="仿宋_GB2312" w:cs="仿宋_GB2312"/>
          <w:sz w:val="32"/>
          <w:szCs w:val="32"/>
          <w:lang w:val="en-US" w:eastAsia="zh-CN"/>
        </w:rPr>
        <w:t>.</w:t>
      </w:r>
      <w:r>
        <w:rPr>
          <w:rFonts w:hint="eastAsia" w:ascii="仿宋_GB2312" w:hAnsi="仿宋_GB2312" w:eastAsia="仿宋_GB2312" w:cs="仿宋_GB2312"/>
          <w:sz w:val="32"/>
          <w:szCs w:val="32"/>
        </w:rPr>
        <w:t>诚信记录良好。</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sz w:val="32"/>
          <w:szCs w:val="32"/>
        </w:rPr>
      </w:pPr>
      <w:r>
        <w:rPr>
          <w:rFonts w:hint="eastAsia" w:hAnsi="仿宋_GB2312" w:cs="仿宋_GB2312"/>
          <w:sz w:val="32"/>
          <w:szCs w:val="32"/>
          <w:lang w:eastAsia="zh-CN"/>
        </w:rPr>
        <w:t>4</w:t>
      </w:r>
      <w:r>
        <w:rPr>
          <w:rFonts w:hint="eastAsia" w:hAnsi="仿宋_GB2312" w:cs="仿宋_GB2312"/>
          <w:sz w:val="32"/>
          <w:szCs w:val="32"/>
          <w:lang w:val="en-US" w:eastAsia="zh-CN"/>
        </w:rPr>
        <w:t>.</w:t>
      </w:r>
      <w:r>
        <w:rPr>
          <w:rFonts w:hint="eastAsia" w:ascii="仿宋_GB2312" w:hAnsi="仿宋_GB2312" w:eastAsia="仿宋_GB2312" w:cs="仿宋_GB2312"/>
          <w:sz w:val="32"/>
          <w:szCs w:val="32"/>
        </w:rPr>
        <w:t>备付金管理机制健全有效。</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（二）符合如下条件的，准予</w:t>
      </w:r>
      <w:r>
        <w:rPr>
          <w:rFonts w:hint="eastAsia" w:ascii="楷体_GB2312" w:hAnsi="楷体_GB2312" w:eastAsia="楷体_GB2312" w:cs="楷体_GB2312"/>
          <w:sz w:val="32"/>
          <w:szCs w:val="32"/>
          <w:lang w:eastAsia="zh-CN"/>
        </w:rPr>
        <w:t>行政许可。</w:t>
      </w:r>
    </w:p>
    <w:p>
      <w:pPr>
        <w:pStyle w:val="5"/>
        <w:spacing w:before="0" w:beforeLines="0" w:after="0" w:afterLines="0" w:line="560" w:lineRule="exact"/>
        <w:ind w:firstLine="0" w:firstLineChars="200"/>
        <w:rPr>
          <w:rFonts w:hAnsi="仿宋_GB2312" w:cs="仿宋_GB2312"/>
          <w:sz w:val="32"/>
          <w:szCs w:val="32"/>
        </w:rPr>
      </w:pPr>
      <w:r>
        <w:rPr>
          <w:rFonts w:hAnsi="仿宋_GB2312" w:cs="仿宋_GB2312"/>
          <w:sz w:val="32"/>
          <w:szCs w:val="32"/>
        </w:rPr>
        <w:t>申请人满足《条例》《实施细则》相关规定，</w:t>
      </w:r>
      <w:r>
        <w:rPr>
          <w:rFonts w:hint="eastAsia" w:ascii="仿宋_GB2312" w:eastAsia="仿宋_GB2312" w:cs="仿宋_GB2312"/>
          <w:color w:val="auto"/>
          <w:sz w:val="32"/>
          <w:szCs w:val="32"/>
        </w:rPr>
        <w:t>提交的申请材料齐全、符合法定形式。</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（三）有如下情形的，不予</w:t>
      </w:r>
      <w:r>
        <w:rPr>
          <w:rFonts w:hint="eastAsia" w:ascii="楷体_GB2312" w:hAnsi="楷体_GB2312" w:eastAsia="楷体_GB2312" w:cs="楷体_GB2312"/>
          <w:sz w:val="32"/>
          <w:szCs w:val="32"/>
          <w:lang w:eastAsia="zh-CN"/>
        </w:rPr>
        <w:t>行政许可。</w:t>
      </w:r>
    </w:p>
    <w:p>
      <w:pPr>
        <w:pStyle w:val="5"/>
        <w:spacing w:before="0" w:beforeLines="0" w:after="0" w:afterLines="0" w:line="560" w:lineRule="exact"/>
        <w:ind w:firstLine="0" w:firstLineChars="200"/>
        <w:rPr>
          <w:rFonts w:hAnsi="仿宋_GB2312" w:cs="仿宋_GB2312"/>
          <w:sz w:val="32"/>
          <w:szCs w:val="32"/>
        </w:rPr>
      </w:pPr>
      <w:r>
        <w:rPr>
          <w:rFonts w:hAnsi="仿宋_GB2312" w:cs="仿宋_GB2312"/>
          <w:sz w:val="32"/>
          <w:szCs w:val="32"/>
        </w:rPr>
        <w:t>申请人</w:t>
      </w:r>
      <w:r>
        <w:rPr>
          <w:rFonts w:hint="eastAsia" w:hAnsi="仿宋_GB2312" w:cs="仿宋_GB2312"/>
          <w:sz w:val="32"/>
          <w:szCs w:val="32"/>
          <w:lang w:eastAsia="zh-CN"/>
        </w:rPr>
        <w:t>不</w:t>
      </w:r>
      <w:r>
        <w:rPr>
          <w:rFonts w:hAnsi="仿宋_GB2312" w:cs="仿宋_GB2312"/>
          <w:sz w:val="32"/>
          <w:szCs w:val="32"/>
        </w:rPr>
        <w:t>满足《条例》《实施细则》相关规定，变更事项</w:t>
      </w:r>
      <w:r>
        <w:rPr>
          <w:rFonts w:hint="eastAsia" w:hAnsi="仿宋_GB2312" w:cs="仿宋_GB2312"/>
          <w:sz w:val="32"/>
          <w:szCs w:val="32"/>
          <w:lang w:eastAsia="zh-CN"/>
        </w:rPr>
        <w:t>不</w:t>
      </w:r>
      <w:r>
        <w:rPr>
          <w:rFonts w:hAnsi="仿宋_GB2312" w:cs="仿宋_GB2312"/>
          <w:sz w:val="32"/>
          <w:szCs w:val="32"/>
        </w:rPr>
        <w:t>符合法定条件、标准。</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（一）书面申请，载明申请人基本情况、变更原因、变更前后人员情况等。</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（二）申请人相关材料，包括：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1.营业执照（副本）复印件和支付业务许可证复印件。</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3.诚信记录良好材料，含企业征信报告，以及其他能够说明诚信记录良好的相关材料。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4.备付金安全承诺。</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5.公司合规经营情况说明，含最近3年经营情况、被投诉举报情况、受到行政处罚或者被采取监管措施情况，以及上述相关问题的整改情况。</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（三）股东会或者其他有权决定机构同意申请人拟变更的决议文件。</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（四）拟变更后的董事、监事或者高级管理人员资质合规情况材料：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1.有效身份证件复印件。</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2.个人履历和相关说明材料。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3.高级管理人员学历证书复印件。</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5.诚信记录良好材料，含个人征信报告，以及其他能够说明诚信记录良好的相关材料。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wordWrap/>
        <w:adjustRightInd/>
        <w:snapToGrid/>
        <w:spacing w:beforeLines="0" w:afterLines="0" w:line="560" w:lineRule="exact"/>
        <w:ind w:firstLine="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（五）申请材料真实性声明。</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申请接收方式</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广西壮族自治区分行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eastAsia="zh-CN"/>
        </w:rPr>
        <w:t>当面接收</w:t>
      </w:r>
      <w:r>
        <w:rPr>
          <w:rFonts w:hint="eastAsia" w:ascii="仿宋_GB2312" w:hAnsi="仿宋_GB2312" w:eastAsia="仿宋_GB2312" w:cs="仿宋_GB2312"/>
          <w:sz w:val="32"/>
          <w:szCs w:val="32"/>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办理基本流程和办理方式</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rPr>
        <w:t>（一）接收申请材料</w:t>
      </w:r>
      <w:r>
        <w:rPr>
          <w:rFonts w:hint="eastAsia" w:ascii="楷体_GB2312" w:hAnsi="楷体_GB2312" w:eastAsia="楷体_GB2312" w:cs="楷体_GB2312"/>
          <w:color w:val="auto"/>
          <w:sz w:val="32"/>
          <w:szCs w:val="32"/>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1.中国人民银行</w:t>
      </w:r>
      <w:r>
        <w:rPr>
          <w:rFonts w:hint="eastAsia" w:ascii="仿宋_GB2312" w:hAnsi="仿宋_GB2312" w:eastAsia="仿宋_GB2312" w:cs="仿宋_GB2312"/>
          <w:color w:val="auto"/>
          <w:sz w:val="32"/>
          <w:szCs w:val="32"/>
          <w:lang w:val="en-US" w:eastAsia="zh-CN"/>
        </w:rPr>
        <w:t>广西壮族自治区分行</w:t>
      </w:r>
      <w:r>
        <w:rPr>
          <w:rFonts w:hint="eastAsia" w:ascii="仿宋_GB2312" w:hAnsi="仿宋_GB2312" w:eastAsia="仿宋_GB2312" w:cs="仿宋_GB2312"/>
          <w:color w:val="auto"/>
          <w:sz w:val="32"/>
          <w:szCs w:val="32"/>
        </w:rPr>
        <w:t>接收申请人提交的申请材料，并清点材料数量。</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2.清点无误的，中国人民银行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向申请人出具材料接收凭证。</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rPr>
        <w:t>（二）出具受理意见</w:t>
      </w:r>
      <w:r>
        <w:rPr>
          <w:rFonts w:hint="eastAsia" w:ascii="楷体_GB2312" w:hAnsi="楷体_GB2312" w:eastAsia="楷体_GB2312" w:cs="楷体_GB2312"/>
          <w:color w:val="auto"/>
          <w:sz w:val="32"/>
          <w:szCs w:val="32"/>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中国人民银行</w:t>
      </w:r>
      <w:r>
        <w:rPr>
          <w:rFonts w:hint="eastAsia" w:ascii="仿宋_GB2312" w:hAnsi="仿宋_GB2312" w:eastAsia="仿宋_GB2312" w:cs="仿宋_GB2312"/>
          <w:color w:val="auto"/>
          <w:sz w:val="32"/>
          <w:szCs w:val="32"/>
          <w:lang w:val="en-US" w:eastAsia="zh-CN"/>
        </w:rPr>
        <w:t>广西壮族自治区分行</w:t>
      </w:r>
      <w:r>
        <w:rPr>
          <w:rFonts w:hint="eastAsia" w:ascii="仿宋_GB2312" w:hAnsi="仿宋_GB2312" w:eastAsia="仿宋_GB2312" w:cs="仿宋_GB2312"/>
          <w:color w:val="auto"/>
          <w:sz w:val="32"/>
          <w:szCs w:val="32"/>
        </w:rPr>
        <w:t>对申请材料进行初步审核，视以下不同情况出具受理意见：</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对于申请材料不齐全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不符合法定形式或者存在错误不能当场更正的，中国人民银行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退回已经收到的全部申请材料</w:t>
      </w:r>
      <w:r>
        <w:rPr>
          <w:rFonts w:hint="eastAsia" w:ascii="仿宋_GB2312" w:hAnsi="仿宋_GB2312" w:eastAsia="仿宋_GB2312" w:cs="仿宋_GB2312"/>
          <w:color w:val="auto"/>
          <w:sz w:val="32"/>
          <w:szCs w:val="32"/>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对于申请人</w:t>
      </w:r>
      <w:r>
        <w:rPr>
          <w:rFonts w:hint="eastAsia" w:ascii="仿宋_GB2312" w:hAnsi="仿宋_GB2312" w:eastAsia="仿宋_GB2312" w:cs="仿宋_GB2312"/>
          <w:color w:val="auto"/>
          <w:sz w:val="32"/>
          <w:szCs w:val="32"/>
          <w:u w:val="none"/>
          <w:lang w:eastAsia="zh-CN"/>
        </w:rPr>
        <w:t>申请事项不属于中国人民银行职权范围</w:t>
      </w:r>
      <w:r>
        <w:rPr>
          <w:rFonts w:hint="eastAsia" w:ascii="仿宋_GB2312" w:hAnsi="仿宋_GB2312" w:eastAsia="仿宋_GB2312" w:cs="仿宋_GB2312"/>
          <w:color w:val="auto"/>
          <w:sz w:val="32"/>
          <w:szCs w:val="32"/>
          <w:u w:val="none"/>
          <w:lang w:eastAsia="zh-CN"/>
        </w:rPr>
        <w:t>，或者</w:t>
      </w:r>
      <w:r>
        <w:rPr>
          <w:rFonts w:hint="eastAsia" w:ascii="仿宋_GB2312" w:hAnsi="仿宋_GB2312" w:eastAsia="仿宋_GB2312" w:cs="仿宋_GB2312"/>
          <w:color w:val="auto"/>
          <w:sz w:val="32"/>
          <w:szCs w:val="32"/>
          <w:lang w:eastAsia="zh-CN"/>
        </w:rPr>
        <w:t>提供的补正</w:t>
      </w:r>
      <w:r>
        <w:rPr>
          <w:rFonts w:hint="eastAsia" w:ascii="仿宋_GB2312" w:hAnsi="仿宋_GB2312" w:eastAsia="仿宋_GB2312" w:cs="仿宋_GB2312"/>
          <w:color w:val="auto"/>
          <w:sz w:val="32"/>
          <w:szCs w:val="32"/>
          <w:lang w:eastAsia="zh-CN"/>
        </w:rPr>
        <w:t>申请材料不齐全、不符合法定形式，补正后仍存在不符合受理条</w:t>
      </w:r>
      <w:r>
        <w:rPr>
          <w:rFonts w:hint="eastAsia" w:ascii="仿宋_GB2312" w:hAnsi="仿宋_GB2312" w:eastAsia="仿宋_GB2312" w:cs="仿宋_GB2312"/>
          <w:color w:val="auto"/>
          <w:sz w:val="32"/>
          <w:szCs w:val="32"/>
          <w:lang w:eastAsia="zh-CN"/>
        </w:rPr>
        <w:t>件的其他情形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eastAsia="zh-CN"/>
        </w:rPr>
        <w:t>，中国人民银行广西壮族自治区分行不予受理，并出具加盖本行行政许可专用章的不予受理决定书，说明不予受理的理由和依据，退回已经收到的全部申请材料。</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申请事项属于中国人民银行职权范围，</w:t>
      </w:r>
      <w:r>
        <w:rPr>
          <w:rFonts w:hint="eastAsia" w:ascii="仿宋_GB2312" w:hAnsi="仿宋_GB2312" w:eastAsia="仿宋_GB2312" w:cs="仿宋_GB2312"/>
          <w:sz w:val="32"/>
          <w:szCs w:val="32"/>
        </w:rPr>
        <w:t>申请材料齐全、符合法定形式的，或者申请人按要求提交全部补正申请材料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中国人民银行广西壮族自治区分行于收到申请材料或者全部补正申请材料之日起5个工作日内，出具加盖本行行政许可专用章并注明受理日期的行政许可受理通知书。</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对于受理、不予受理或者要求补正申请材料的通知书，</w:t>
      </w:r>
      <w:r>
        <w:rPr>
          <w:rFonts w:hint="eastAsia" w:ascii="仿宋_GB2312" w:hAnsi="仿宋_GB2312" w:eastAsia="仿宋_GB2312" w:cs="仿宋_GB2312"/>
          <w:color w:val="auto"/>
          <w:sz w:val="32"/>
          <w:szCs w:val="32"/>
          <w:lang w:eastAsia="zh-CN"/>
        </w:rPr>
        <w:t>除即时告知的外，中国人民银行广西壮族自治区分行</w:t>
      </w:r>
      <w:r>
        <w:rPr>
          <w:rFonts w:hint="eastAsia" w:ascii="仿宋_GB2312" w:hAnsi="仿宋_GB2312" w:eastAsia="仿宋_GB2312" w:cs="仿宋_GB2312"/>
          <w:color w:val="auto"/>
          <w:sz w:val="32"/>
          <w:szCs w:val="32"/>
        </w:rPr>
        <w:t>自相关文书作出之日起5个工作日内送达当事人。</w:t>
      </w:r>
    </w:p>
    <w:p>
      <w:pPr>
        <w:wordWrap/>
        <w:adjustRightInd/>
        <w:snapToGrid/>
        <w:spacing w:beforeLines="0" w:afterLines="0" w:line="560" w:lineRule="exact"/>
        <w:ind w:firstLine="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（三）中国人民银行</w:t>
      </w:r>
      <w:r>
        <w:rPr>
          <w:rFonts w:hint="eastAsia" w:ascii="楷体_GB2312" w:hAnsi="楷体_GB2312" w:eastAsia="楷体_GB2312" w:cs="楷体_GB2312"/>
          <w:color w:val="auto"/>
          <w:sz w:val="32"/>
          <w:szCs w:val="32"/>
          <w:lang w:eastAsia="zh-CN"/>
        </w:rPr>
        <w:t>广西壮族自治区分行初审或者审查</w:t>
      </w:r>
      <w:r>
        <w:rPr>
          <w:rFonts w:hint="eastAsia" w:ascii="楷体_GB2312" w:hAnsi="楷体_GB2312" w:eastAsia="楷体_GB2312" w:cs="楷体_GB2312"/>
          <w:color w:val="auto"/>
          <w:sz w:val="32"/>
          <w:szCs w:val="32"/>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申请人为系统重要性非银行支付机构的，中国人民银行广西壮族自治区分行自受理申请之日起对申请材料进行初步审查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lang w:val="en-US" w:eastAsia="zh-CN"/>
        </w:rPr>
        <w:t>变更</w:t>
      </w:r>
      <w:r>
        <w:rPr>
          <w:rFonts w:hint="eastAsia" w:ascii="仿宋_GB2312" w:hAnsi="仿宋_GB2312" w:eastAsia="仿宋_GB2312" w:cs="仿宋_GB2312"/>
          <w:color w:val="auto"/>
          <w:sz w:val="32"/>
          <w:szCs w:val="32"/>
          <w:lang w:val="en-US" w:eastAsia="zh-CN"/>
        </w:rPr>
        <w:t>申请材料</w:t>
      </w:r>
      <w:r>
        <w:rPr>
          <w:rFonts w:hint="eastAsia" w:ascii="仿宋_GB2312" w:hAnsi="仿宋_GB2312" w:eastAsia="仿宋_GB2312" w:cs="仿宋_GB2312"/>
          <w:color w:val="auto"/>
          <w:sz w:val="32"/>
          <w:szCs w:val="32"/>
          <w:lang w:val="en-US" w:eastAsia="zh-CN"/>
        </w:rPr>
        <w:t>、行政许可受理通知书</w:t>
      </w:r>
      <w:r>
        <w:rPr>
          <w:rFonts w:hint="eastAsia" w:ascii="仿宋_GB2312" w:hAnsi="仿宋_GB2312" w:eastAsia="仿宋_GB2312" w:cs="仿宋_GB2312"/>
          <w:color w:val="auto"/>
          <w:sz w:val="32"/>
          <w:szCs w:val="32"/>
          <w:lang w:val="en-US" w:eastAsia="zh-CN"/>
        </w:rPr>
        <w:t>和初步审查意见报中国人民银行；申请人为非系统重要性非银行支付机构的，中国人民银行广西壮族自治区分行自受理申请之日起对申请材料进行审查，并作出批准或者不予批准的决定。</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人民银行广西壮族自治区分行可以通过实地调查、面谈、征求有关部门意见等方式对申请材料进行核实。审查过程中，若发现申请人提交的申请材料存在实质性问题，可能影响作出行政许可决定的，中国人民银行广西壮族自治区分行可以要求申请人限期对申请材料进一步修改、完善，或者解释说明。申请人在合理期限内拒不修改、完善、解释说明，或者修改、完善、解释说明后仍存在实质性问题的，中国人民银行广西壮族自治区分行继续审查，不利后果由申请人承担。</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办理时限</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申请人为系统重要性非银行支付机构的，</w:t>
      </w: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自</w:t>
      </w: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受理</w:t>
      </w:r>
      <w:r>
        <w:rPr>
          <w:rFonts w:hint="eastAsia" w:ascii="仿宋_GB2312" w:hAnsi="仿宋_GB2312" w:eastAsia="仿宋_GB2312" w:cs="仿宋_GB2312"/>
          <w:color w:val="auto"/>
          <w:sz w:val="32"/>
          <w:szCs w:val="32"/>
          <w:highlight w:val="none"/>
          <w:lang w:eastAsia="zh-CN"/>
        </w:rPr>
        <w:t>申请</w:t>
      </w:r>
      <w:r>
        <w:rPr>
          <w:rFonts w:hint="eastAsia" w:ascii="仿宋_GB2312" w:hAnsi="仿宋_GB2312" w:eastAsia="仿宋_GB2312" w:cs="仿宋_GB2312"/>
          <w:color w:val="auto"/>
          <w:sz w:val="32"/>
          <w:szCs w:val="32"/>
          <w:highlight w:val="none"/>
        </w:rPr>
        <w:t>之日起</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个月内</w:t>
      </w:r>
      <w:r>
        <w:rPr>
          <w:rFonts w:hint="eastAsia" w:ascii="仿宋_GB2312" w:hAnsi="仿宋_GB2312" w:eastAsia="仿宋_GB2312" w:cs="仿宋_GB2312"/>
          <w:color w:val="auto"/>
          <w:sz w:val="32"/>
          <w:szCs w:val="32"/>
          <w:highlight w:val="none"/>
          <w:lang w:eastAsia="zh-CN"/>
        </w:rPr>
        <w:t>作出</w:t>
      </w:r>
      <w:r>
        <w:rPr>
          <w:rFonts w:hint="eastAsia" w:ascii="仿宋_GB2312" w:hAnsi="仿宋_GB2312" w:eastAsia="仿宋_GB2312" w:cs="仿宋_GB2312"/>
          <w:b w:val="0"/>
          <w:bCs w:val="0"/>
          <w:strike w:val="0"/>
          <w:dstrike w:val="0"/>
          <w:color w:val="auto"/>
          <w:sz w:val="32"/>
          <w:szCs w:val="32"/>
          <w:lang w:val="en-US" w:eastAsia="zh-CN"/>
        </w:rPr>
        <w:t>批准或者不予批</w:t>
      </w:r>
      <w:r>
        <w:rPr>
          <w:rFonts w:hint="eastAsia" w:ascii="仿宋_GB2312" w:hAnsi="仿宋_GB2312" w:eastAsia="仿宋_GB2312" w:cs="仿宋_GB2312"/>
          <w:color w:val="auto"/>
          <w:sz w:val="32"/>
          <w:szCs w:val="32"/>
          <w:lang w:val="en-US" w:eastAsia="zh-CN"/>
        </w:rPr>
        <w:t>准的决定；申请人为非系统重要性非银行支付机构的，中国人民银行广西壮族自治区分行自受理申请之日起3个月内作出批准或者不予批准的决定。</w:t>
      </w:r>
      <w:r>
        <w:rPr>
          <w:rFonts w:hint="eastAsia" w:ascii="仿宋_GB2312" w:hAnsi="仿宋_GB2312" w:eastAsia="仿宋_GB2312" w:cs="仿宋_GB2312"/>
          <w:color w:val="auto"/>
          <w:sz w:val="32"/>
          <w:szCs w:val="32"/>
        </w:rPr>
        <w:t>其中，《中国人民银行行政许可实施办法》（中国人民银行令〔2020〕第1号</w:t>
      </w:r>
      <w:r>
        <w:rPr>
          <w:rFonts w:hint="eastAsia" w:ascii="仿宋_GB2312" w:hAnsi="仿宋_GB2312" w:eastAsia="仿宋_GB2312" w:cs="仿宋_GB2312"/>
          <w:color w:val="auto"/>
          <w:sz w:val="32"/>
          <w:szCs w:val="32"/>
          <w:lang w:eastAsia="zh-CN"/>
        </w:rPr>
        <w:t>发布</w:t>
      </w:r>
      <w:r>
        <w:rPr>
          <w:rFonts w:hint="eastAsia" w:ascii="仿宋_GB2312" w:hAnsi="仿宋_GB2312" w:eastAsia="仿宋_GB2312" w:cs="仿宋_GB2312"/>
          <w:color w:val="auto"/>
          <w:sz w:val="32"/>
          <w:szCs w:val="32"/>
        </w:rPr>
        <w:t>）第三十三条规定的相关程序不计入时限。</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审批结果和送达</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申请人为系统重要性非银行支付机构的，</w:t>
      </w:r>
      <w:r>
        <w:rPr>
          <w:rFonts w:hint="eastAsia" w:ascii="仿宋_GB2312" w:hAnsi="仿宋_GB2312" w:eastAsia="仿宋_GB2312" w:cs="仿宋_GB2312"/>
          <w:color w:val="auto"/>
          <w:sz w:val="32"/>
          <w:szCs w:val="32"/>
        </w:rPr>
        <w:t>中国人民银行根据审批结果作出行政许可决定，</w:t>
      </w:r>
      <w:r>
        <w:rPr>
          <w:rFonts w:hint="eastAsia" w:ascii="仿宋_GB2312" w:hAnsi="仿宋_GB2312" w:eastAsia="仿宋_GB2312" w:cs="仿宋_GB2312"/>
          <w:color w:val="auto"/>
          <w:sz w:val="32"/>
          <w:szCs w:val="32"/>
          <w:lang w:eastAsia="zh-CN"/>
        </w:rPr>
        <w:t>准予许可的，出具准予行政许可决定书并予以公告；不予许可的，</w:t>
      </w:r>
      <w:r>
        <w:rPr>
          <w:rFonts w:hint="eastAsia" w:ascii="仿宋_GB2312" w:hAnsi="仿宋_GB2312" w:eastAsia="仿宋_GB2312" w:cs="仿宋_GB2312"/>
          <w:color w:val="auto"/>
          <w:sz w:val="32"/>
          <w:szCs w:val="32"/>
          <w:highlight w:val="none"/>
          <w:lang w:eastAsia="zh-CN"/>
        </w:rPr>
        <w:t>出具不予行政许可决定书</w:t>
      </w:r>
      <w:r>
        <w:rPr>
          <w:rFonts w:hint="eastAsia" w:ascii="仿宋_GB2312" w:hAnsi="仿宋_GB2312" w:eastAsia="仿宋_GB2312" w:cs="仿宋_GB2312"/>
          <w:color w:val="auto"/>
          <w:sz w:val="32"/>
          <w:szCs w:val="32"/>
          <w:lang w:eastAsia="zh-CN"/>
        </w:rPr>
        <w:t>。中国人民银行广西壮族自治区分行根据行政许可决定将准予行政许可决定书</w:t>
      </w:r>
      <w:r>
        <w:rPr>
          <w:rFonts w:hint="eastAsia" w:ascii="仿宋_GB2312" w:hAnsi="仿宋_GB2312" w:eastAsia="仿宋_GB2312" w:cs="仿宋_GB2312"/>
          <w:color w:val="auto"/>
          <w:sz w:val="32"/>
          <w:szCs w:val="32"/>
        </w:rPr>
        <w:t>或不予行政许可决定书</w:t>
      </w:r>
      <w:r>
        <w:rPr>
          <w:rFonts w:hint="eastAsia" w:ascii="仿宋_GB2312" w:hAnsi="仿宋_GB2312" w:eastAsia="仿宋_GB2312" w:cs="仿宋_GB2312"/>
          <w:color w:val="auto"/>
          <w:sz w:val="32"/>
          <w:szCs w:val="32"/>
          <w:lang w:eastAsia="zh-CN"/>
        </w:rPr>
        <w:t>送达申请人</w:t>
      </w:r>
      <w:r>
        <w:rPr>
          <w:rFonts w:hint="eastAsia" w:ascii="仿宋_GB2312" w:hAnsi="仿宋_GB2312" w:eastAsia="仿宋_GB2312" w:cs="仿宋_GB2312"/>
          <w:color w:val="auto"/>
          <w:sz w:val="32"/>
          <w:szCs w:val="32"/>
        </w:rPr>
        <w:t>。</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申请人为非系统重要性非银行支付机构的</w:t>
      </w:r>
      <w:r>
        <w:rPr>
          <w:rFonts w:hint="eastAsia" w:ascii="仿宋_GB2312" w:hAnsi="仿宋_GB2312" w:eastAsia="仿宋_GB2312" w:cs="仿宋_GB2312"/>
          <w:color w:val="auto"/>
          <w:sz w:val="32"/>
          <w:szCs w:val="32"/>
          <w:highlight w:val="none"/>
          <w:lang w:val="en-US" w:eastAsia="zh-CN"/>
        </w:rPr>
        <w:t>，中国人民银行广西壮族自治区分行</w:t>
      </w:r>
      <w:r>
        <w:rPr>
          <w:rFonts w:hint="eastAsia" w:ascii="仿宋_GB2312" w:hAnsi="仿宋_GB2312" w:eastAsia="仿宋_GB2312" w:cs="仿宋_GB2312"/>
          <w:color w:val="auto"/>
          <w:sz w:val="32"/>
          <w:szCs w:val="32"/>
          <w:highlight w:val="none"/>
        </w:rPr>
        <w:t>根据审批结果作出行政许可决定，</w:t>
      </w:r>
      <w:r>
        <w:rPr>
          <w:rFonts w:hint="eastAsia" w:ascii="仿宋_GB2312" w:hAnsi="仿宋_GB2312" w:eastAsia="仿宋_GB2312" w:cs="仿宋_GB2312"/>
          <w:color w:val="auto"/>
          <w:sz w:val="32"/>
          <w:szCs w:val="32"/>
          <w:highlight w:val="none"/>
          <w:lang w:eastAsia="zh-CN"/>
        </w:rPr>
        <w:t>准予许可的，出具准予行政许可决定书并予以公告；不予许可的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出具不予行政许可决定书</w:t>
      </w:r>
      <w:r>
        <w:rPr>
          <w:rFonts w:hint="eastAsia" w:ascii="仿宋_GB2312" w:hAnsi="仿宋_GB2312" w:eastAsia="仿宋_GB2312" w:cs="仿宋_GB2312"/>
          <w:color w:val="auto"/>
          <w:sz w:val="32"/>
          <w:szCs w:val="32"/>
          <w:lang w:eastAsia="zh-CN"/>
        </w:rPr>
        <w:t>。中国人民银行广西壮族自治区分行根据行政许可决定将准予行政许可决定书或不予行政许可决定书送达申请人。</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收费依据及标准</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numPr>
          <w:ilvl w:val="0"/>
          <w:numId w:val="1"/>
        </w:numPr>
        <w:spacing w:beforeLines="0" w:afterLines="0" w:line="560" w:lineRule="exact"/>
        <w:ind w:firstLine="0" w:firstLineChars="200"/>
        <w:rPr>
          <w:rFonts w:hint="eastAsia" w:ascii="黑体" w:hAnsi="黑体" w:eastAsia="黑体"/>
          <w:sz w:val="32"/>
          <w:szCs w:val="32"/>
          <w:highlight w:val="none"/>
        </w:rPr>
      </w:pPr>
      <w:r>
        <w:rPr>
          <w:rFonts w:hint="eastAsia" w:ascii="黑体" w:hAnsi="黑体" w:eastAsia="黑体" w:cs="黑体"/>
          <w:color w:val="auto"/>
          <w:sz w:val="32"/>
          <w:szCs w:val="32"/>
          <w:highlight w:val="none"/>
        </w:rPr>
        <w:t>行政相对人权利和义务</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楷体_GB2312" w:eastAsia="楷体_GB2312" w:cs="楷体_GB2312"/>
          <w:color w:val="auto"/>
          <w:sz w:val="32"/>
          <w:szCs w:val="32"/>
          <w:highlight w:val="none"/>
        </w:rPr>
        <w:t>（一）依据《中华人民共和国行政许可法》等，申请人依法享有以下权利</w:t>
      </w:r>
      <w:r>
        <w:rPr>
          <w:rFonts w:hint="eastAsia" w:ascii="楷体_GB2312" w:eastAsia="楷体_GB2312" w:cs="楷体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1.依法取得行政许可的平等权利。</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2.依法申请行政复议和行政诉讼的权利。</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楷体_GB2312" w:eastAsia="楷体_GB2312" w:cs="楷体_GB2312"/>
          <w:color w:val="auto"/>
          <w:sz w:val="32"/>
          <w:szCs w:val="32"/>
          <w:highlight w:val="none"/>
        </w:rPr>
        <w:t>（二）依据《中华人民共和国行政许可法》等，申请人依法履行以下义务</w:t>
      </w:r>
      <w:r>
        <w:rPr>
          <w:rFonts w:hint="eastAsia" w:ascii="楷体_GB2312" w:eastAsia="楷体_GB2312" w:cs="楷体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1.保证申请材料实质内容的真实、准确和完整，无虚假记载、误导性陈述或重大遗漏；</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2.配合人民银行工作人员做好材料签收交接手续；</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3.按要求及时补正申请材料。</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sz w:val="32"/>
          <w:szCs w:val="32"/>
        </w:rPr>
        <w:t>咨询</w:t>
      </w:r>
      <w:r>
        <w:rPr>
          <w:rFonts w:hint="eastAsia" w:ascii="黑体" w:hAnsi="黑体" w:eastAsia="黑体" w:cs="黑体"/>
          <w:sz w:val="32"/>
          <w:szCs w:val="32"/>
          <w:highlight w:val="none"/>
          <w:lang w:val="en-US" w:eastAsia="zh-CN"/>
        </w:rPr>
        <w:t>途径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广西壮族自治区分行</w:t>
      </w:r>
      <w:r>
        <w:rPr>
          <w:rFonts w:hint="eastAsia" w:ascii="仿宋_GB2312" w:hAnsi="仿宋_GB2312" w:eastAsia="仿宋_GB2312" w:cs="仿宋_GB2312"/>
          <w:sz w:val="32"/>
          <w:szCs w:val="32"/>
        </w:rPr>
        <w:t>支付结算部门，联系电话：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771-6111430</w:t>
      </w:r>
      <w:r>
        <w:rPr>
          <w:rFonts w:hint="eastAsia" w:ascii="仿宋_GB2312" w:hAnsi="仿宋_GB2312" w:eastAsia="仿宋_GB2312" w:cs="仿宋_GB2312"/>
          <w:sz w:val="32"/>
          <w:szCs w:val="32"/>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监督投诉渠道</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信函投诉：广西南宁市青秀区滨湖路58号中国人民银行广西壮族自治区分行，0771-6111709，邮编530028。</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办公地址和时间</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val="en-US" w:eastAsia="zh-CN"/>
        </w:rPr>
        <w:t>南宁市青秀区滨湖路58号</w:t>
      </w:r>
      <w:r>
        <w:rPr>
          <w:rFonts w:hint="eastAsia" w:ascii="仿宋_GB2312" w:hAnsi="仿宋_GB2312" w:eastAsia="仿宋_GB2312" w:cs="仿宋_GB2312"/>
          <w:sz w:val="32"/>
          <w:szCs w:val="32"/>
          <w:lang w:eastAsia="zh-CN"/>
        </w:rPr>
        <w:t>。</w:t>
      </w:r>
    </w:p>
    <w:p>
      <w:pPr>
        <w:wordWrap/>
        <w:adjustRightInd/>
        <w:snapToGrid/>
        <w:spacing w:beforeLines="0" w:afterLines="0" w:line="560" w:lineRule="exact"/>
        <w:ind w:firstLine="0" w:firstLineChars="200"/>
        <w:textAlignment w:val="auto"/>
        <w:rPr>
          <w:sz w:val="32"/>
          <w:szCs w:val="32"/>
        </w:rPr>
      </w:pPr>
      <w:r>
        <w:rPr>
          <w:rFonts w:hint="eastAsia" w:ascii="仿宋_GB2312" w:hAnsi="仿宋_GB2312" w:eastAsia="仿宋_GB2312" w:cs="仿宋_GB2312"/>
          <w:sz w:val="32"/>
          <w:szCs w:val="32"/>
        </w:rPr>
        <w:t>办公时间：工作日，8:30-12:00，14:30-1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36075246">
    <w:nsid w:val="37CB5FEE"/>
    <w:multiLevelType w:val="singleLevel"/>
    <w:tmpl w:val="37CB5FEE"/>
    <w:lvl w:ilvl="0" w:tentative="1">
      <w:start w:val="1"/>
      <w:numFmt w:val="chineseCounting"/>
      <w:suff w:val="nothing"/>
      <w:lvlText w:val="%1、"/>
      <w:lvlJc w:val="left"/>
      <w:rPr>
        <w:rFonts w:hint="eastAsia"/>
      </w:rPr>
    </w:lvl>
  </w:abstractNum>
  <w:num w:numId="1">
    <w:abstractNumId w:val="9360752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A9F1E38"/>
    <w:rsid w:val="0007733C"/>
    <w:rsid w:val="00225A0D"/>
    <w:rsid w:val="00247180"/>
    <w:rsid w:val="00315283"/>
    <w:rsid w:val="004229ED"/>
    <w:rsid w:val="00426837"/>
    <w:rsid w:val="00486860"/>
    <w:rsid w:val="004E2679"/>
    <w:rsid w:val="00561FA7"/>
    <w:rsid w:val="00562A58"/>
    <w:rsid w:val="0063225A"/>
    <w:rsid w:val="006F4BF0"/>
    <w:rsid w:val="00825F9C"/>
    <w:rsid w:val="00A95503"/>
    <w:rsid w:val="00BB5136"/>
    <w:rsid w:val="00C753EF"/>
    <w:rsid w:val="00C865A4"/>
    <w:rsid w:val="00D24D99"/>
    <w:rsid w:val="00E3320D"/>
    <w:rsid w:val="00EB06A3"/>
    <w:rsid w:val="00ED0655"/>
    <w:rsid w:val="00EE05FE"/>
    <w:rsid w:val="0108339F"/>
    <w:rsid w:val="01151FEF"/>
    <w:rsid w:val="011B54BF"/>
    <w:rsid w:val="0139761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EA2131"/>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D80D0E"/>
    <w:rsid w:val="02E46004"/>
    <w:rsid w:val="02F545F8"/>
    <w:rsid w:val="030768BA"/>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D20503"/>
    <w:rsid w:val="053472E6"/>
    <w:rsid w:val="05357716"/>
    <w:rsid w:val="05486BA9"/>
    <w:rsid w:val="05550DA4"/>
    <w:rsid w:val="058004AF"/>
    <w:rsid w:val="05A164D8"/>
    <w:rsid w:val="05AB439D"/>
    <w:rsid w:val="05BC4358"/>
    <w:rsid w:val="05C356F6"/>
    <w:rsid w:val="05C96DAF"/>
    <w:rsid w:val="05E745D3"/>
    <w:rsid w:val="05EE699F"/>
    <w:rsid w:val="06013F0D"/>
    <w:rsid w:val="06044E8D"/>
    <w:rsid w:val="06154828"/>
    <w:rsid w:val="06307967"/>
    <w:rsid w:val="063A2011"/>
    <w:rsid w:val="06535974"/>
    <w:rsid w:val="065F41A9"/>
    <w:rsid w:val="066A6C8B"/>
    <w:rsid w:val="067A2B37"/>
    <w:rsid w:val="067F3DBE"/>
    <w:rsid w:val="0686468F"/>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A448F"/>
    <w:rsid w:val="083C7358"/>
    <w:rsid w:val="083D129F"/>
    <w:rsid w:val="085A3B8B"/>
    <w:rsid w:val="085C076F"/>
    <w:rsid w:val="085F73F3"/>
    <w:rsid w:val="086C370F"/>
    <w:rsid w:val="087C55EA"/>
    <w:rsid w:val="08842F01"/>
    <w:rsid w:val="08AE32B7"/>
    <w:rsid w:val="08C02D4F"/>
    <w:rsid w:val="08D05286"/>
    <w:rsid w:val="08D5750A"/>
    <w:rsid w:val="08EE45DC"/>
    <w:rsid w:val="08EF5C8F"/>
    <w:rsid w:val="08F943DD"/>
    <w:rsid w:val="08FC6DEE"/>
    <w:rsid w:val="090B75B8"/>
    <w:rsid w:val="091A0422"/>
    <w:rsid w:val="09435A84"/>
    <w:rsid w:val="096F03A2"/>
    <w:rsid w:val="09834D00"/>
    <w:rsid w:val="09923FC9"/>
    <w:rsid w:val="09AF2D7F"/>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C2262"/>
    <w:rsid w:val="0B203F06"/>
    <w:rsid w:val="0B3B009A"/>
    <w:rsid w:val="0B544E60"/>
    <w:rsid w:val="0B657506"/>
    <w:rsid w:val="0B66237F"/>
    <w:rsid w:val="0B676424"/>
    <w:rsid w:val="0B806302"/>
    <w:rsid w:val="0B890BA0"/>
    <w:rsid w:val="0B95577A"/>
    <w:rsid w:val="0B9A0C92"/>
    <w:rsid w:val="0BC05C3E"/>
    <w:rsid w:val="0BCB3AD3"/>
    <w:rsid w:val="0BD66648"/>
    <w:rsid w:val="0BDE12E9"/>
    <w:rsid w:val="0BF73193"/>
    <w:rsid w:val="0C1A4678"/>
    <w:rsid w:val="0C235FAB"/>
    <w:rsid w:val="0C3543E9"/>
    <w:rsid w:val="0C456153"/>
    <w:rsid w:val="0C614271"/>
    <w:rsid w:val="0C741582"/>
    <w:rsid w:val="0C924E96"/>
    <w:rsid w:val="0C9268D7"/>
    <w:rsid w:val="0CC12E53"/>
    <w:rsid w:val="0CC60ED2"/>
    <w:rsid w:val="0CCD0D43"/>
    <w:rsid w:val="0CCE3E7D"/>
    <w:rsid w:val="0CE367E4"/>
    <w:rsid w:val="0CE463D7"/>
    <w:rsid w:val="0CF05B81"/>
    <w:rsid w:val="0CF75281"/>
    <w:rsid w:val="0D1D7234"/>
    <w:rsid w:val="0D284122"/>
    <w:rsid w:val="0D7D4867"/>
    <w:rsid w:val="0D8350C8"/>
    <w:rsid w:val="0D992409"/>
    <w:rsid w:val="0DA316BA"/>
    <w:rsid w:val="0DA621A8"/>
    <w:rsid w:val="0DB87971"/>
    <w:rsid w:val="0DDF76F4"/>
    <w:rsid w:val="0DEF6DBF"/>
    <w:rsid w:val="0E0A04A2"/>
    <w:rsid w:val="0E0F2384"/>
    <w:rsid w:val="0E175FAA"/>
    <w:rsid w:val="0E283F33"/>
    <w:rsid w:val="0E425776"/>
    <w:rsid w:val="0E51270D"/>
    <w:rsid w:val="0E755D86"/>
    <w:rsid w:val="0E9464D9"/>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57A9"/>
    <w:rsid w:val="0F97122E"/>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D727AF"/>
    <w:rsid w:val="10E736FB"/>
    <w:rsid w:val="10FC7C33"/>
    <w:rsid w:val="110D6C2C"/>
    <w:rsid w:val="110E7433"/>
    <w:rsid w:val="11212CB2"/>
    <w:rsid w:val="117249AF"/>
    <w:rsid w:val="11907CF9"/>
    <w:rsid w:val="11D3447F"/>
    <w:rsid w:val="11EE53A0"/>
    <w:rsid w:val="11FA4BB2"/>
    <w:rsid w:val="12014D00"/>
    <w:rsid w:val="120C788F"/>
    <w:rsid w:val="121F7D94"/>
    <w:rsid w:val="126473CF"/>
    <w:rsid w:val="12653402"/>
    <w:rsid w:val="12910D0F"/>
    <w:rsid w:val="12985BAA"/>
    <w:rsid w:val="12D456B7"/>
    <w:rsid w:val="12D467F4"/>
    <w:rsid w:val="12E3529A"/>
    <w:rsid w:val="12EF539D"/>
    <w:rsid w:val="13194343"/>
    <w:rsid w:val="131A3D5E"/>
    <w:rsid w:val="134A42EC"/>
    <w:rsid w:val="13504A4B"/>
    <w:rsid w:val="136E179F"/>
    <w:rsid w:val="13926B0D"/>
    <w:rsid w:val="13A03B44"/>
    <w:rsid w:val="13A04F33"/>
    <w:rsid w:val="13B331CE"/>
    <w:rsid w:val="13C25FA1"/>
    <w:rsid w:val="13C77AF3"/>
    <w:rsid w:val="13F91C5D"/>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57008"/>
    <w:rsid w:val="15A7055C"/>
    <w:rsid w:val="15D50437"/>
    <w:rsid w:val="15EB146C"/>
    <w:rsid w:val="15EF49E5"/>
    <w:rsid w:val="15F80645"/>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3A2664"/>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CE30FA"/>
    <w:rsid w:val="18EC11F1"/>
    <w:rsid w:val="18EE1576"/>
    <w:rsid w:val="18FF09E5"/>
    <w:rsid w:val="19017AB3"/>
    <w:rsid w:val="19040722"/>
    <w:rsid w:val="1928584A"/>
    <w:rsid w:val="192C6B61"/>
    <w:rsid w:val="193C1A08"/>
    <w:rsid w:val="196A48FB"/>
    <w:rsid w:val="19767520"/>
    <w:rsid w:val="198C7403"/>
    <w:rsid w:val="199621F6"/>
    <w:rsid w:val="19AC4277"/>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604A85"/>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571F39"/>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A5211B"/>
    <w:rsid w:val="20E14680"/>
    <w:rsid w:val="21254518"/>
    <w:rsid w:val="21403214"/>
    <w:rsid w:val="214B0967"/>
    <w:rsid w:val="214D7F44"/>
    <w:rsid w:val="21512333"/>
    <w:rsid w:val="215E59AC"/>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640F76"/>
    <w:rsid w:val="227149E6"/>
    <w:rsid w:val="227E533B"/>
    <w:rsid w:val="2285255A"/>
    <w:rsid w:val="22AD3810"/>
    <w:rsid w:val="22BD0882"/>
    <w:rsid w:val="22DF4C0E"/>
    <w:rsid w:val="22E943B1"/>
    <w:rsid w:val="22F13368"/>
    <w:rsid w:val="23210DBA"/>
    <w:rsid w:val="23382D84"/>
    <w:rsid w:val="2341291F"/>
    <w:rsid w:val="23423336"/>
    <w:rsid w:val="234F3941"/>
    <w:rsid w:val="234F60A8"/>
    <w:rsid w:val="235B3FE8"/>
    <w:rsid w:val="237016C9"/>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25408"/>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592A05"/>
    <w:rsid w:val="27704665"/>
    <w:rsid w:val="277944C1"/>
    <w:rsid w:val="2799307D"/>
    <w:rsid w:val="27A82E1D"/>
    <w:rsid w:val="27CE2E3B"/>
    <w:rsid w:val="27D2090A"/>
    <w:rsid w:val="28000EBC"/>
    <w:rsid w:val="28367C13"/>
    <w:rsid w:val="2837717B"/>
    <w:rsid w:val="28410969"/>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9318FA"/>
    <w:rsid w:val="2A9653B4"/>
    <w:rsid w:val="2AAE3572"/>
    <w:rsid w:val="2AB97222"/>
    <w:rsid w:val="2ACF11F1"/>
    <w:rsid w:val="2AE25148"/>
    <w:rsid w:val="2AEC5275"/>
    <w:rsid w:val="2B0013A6"/>
    <w:rsid w:val="2B0F3DFB"/>
    <w:rsid w:val="2B17795C"/>
    <w:rsid w:val="2B2D5D84"/>
    <w:rsid w:val="2B6018CF"/>
    <w:rsid w:val="2B7C00E6"/>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84199"/>
    <w:rsid w:val="2C703885"/>
    <w:rsid w:val="2C9102BD"/>
    <w:rsid w:val="2C967F29"/>
    <w:rsid w:val="2C9A2B39"/>
    <w:rsid w:val="2CC849C3"/>
    <w:rsid w:val="2CD34229"/>
    <w:rsid w:val="2CD96B9E"/>
    <w:rsid w:val="2CF50E8C"/>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713DAB"/>
    <w:rsid w:val="2F7408DD"/>
    <w:rsid w:val="2F8A63CD"/>
    <w:rsid w:val="2FA22219"/>
    <w:rsid w:val="2FAA56D7"/>
    <w:rsid w:val="2FB57F21"/>
    <w:rsid w:val="2FC56DE1"/>
    <w:rsid w:val="2FC766C1"/>
    <w:rsid w:val="2FC93A00"/>
    <w:rsid w:val="2FCC4D20"/>
    <w:rsid w:val="2FCF514B"/>
    <w:rsid w:val="2FF17CCB"/>
    <w:rsid w:val="2FF53298"/>
    <w:rsid w:val="300862AC"/>
    <w:rsid w:val="300C393D"/>
    <w:rsid w:val="3017224F"/>
    <w:rsid w:val="301D5AB6"/>
    <w:rsid w:val="3021759A"/>
    <w:rsid w:val="30300D52"/>
    <w:rsid w:val="303E0C11"/>
    <w:rsid w:val="30447687"/>
    <w:rsid w:val="304639F1"/>
    <w:rsid w:val="3066753A"/>
    <w:rsid w:val="307B7336"/>
    <w:rsid w:val="30A121A6"/>
    <w:rsid w:val="30C95F3D"/>
    <w:rsid w:val="30CD3E40"/>
    <w:rsid w:val="30DA4802"/>
    <w:rsid w:val="30E57C8C"/>
    <w:rsid w:val="30FD6975"/>
    <w:rsid w:val="312605C4"/>
    <w:rsid w:val="315A1559"/>
    <w:rsid w:val="315D6252"/>
    <w:rsid w:val="315F1473"/>
    <w:rsid w:val="31930775"/>
    <w:rsid w:val="31DB1281"/>
    <w:rsid w:val="31E35756"/>
    <w:rsid w:val="31EA1A4C"/>
    <w:rsid w:val="31F06108"/>
    <w:rsid w:val="31F4409B"/>
    <w:rsid w:val="31F74241"/>
    <w:rsid w:val="322E7B74"/>
    <w:rsid w:val="323854A6"/>
    <w:rsid w:val="323C53E9"/>
    <w:rsid w:val="3243069E"/>
    <w:rsid w:val="32510909"/>
    <w:rsid w:val="326053E0"/>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F51FAF"/>
    <w:rsid w:val="361961C7"/>
    <w:rsid w:val="36314A46"/>
    <w:rsid w:val="36403A38"/>
    <w:rsid w:val="365246A1"/>
    <w:rsid w:val="365C0392"/>
    <w:rsid w:val="36626E4A"/>
    <w:rsid w:val="36637FAA"/>
    <w:rsid w:val="367D6C5C"/>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471DFA"/>
    <w:rsid w:val="384E5E94"/>
    <w:rsid w:val="38651115"/>
    <w:rsid w:val="38BB0133"/>
    <w:rsid w:val="38CB09C4"/>
    <w:rsid w:val="38D20AFF"/>
    <w:rsid w:val="38E5667E"/>
    <w:rsid w:val="39221172"/>
    <w:rsid w:val="39583C7A"/>
    <w:rsid w:val="397866DF"/>
    <w:rsid w:val="397C401E"/>
    <w:rsid w:val="399F4452"/>
    <w:rsid w:val="3A051757"/>
    <w:rsid w:val="3A2D4628"/>
    <w:rsid w:val="3A4F7C26"/>
    <w:rsid w:val="3A742189"/>
    <w:rsid w:val="3A9D3C23"/>
    <w:rsid w:val="3AA17726"/>
    <w:rsid w:val="3AA66174"/>
    <w:rsid w:val="3AAF4E3A"/>
    <w:rsid w:val="3ABE319F"/>
    <w:rsid w:val="3AEB0452"/>
    <w:rsid w:val="3AF765EA"/>
    <w:rsid w:val="3AFD42E0"/>
    <w:rsid w:val="3B0B0F7D"/>
    <w:rsid w:val="3B0D6080"/>
    <w:rsid w:val="3B5B2F84"/>
    <w:rsid w:val="3B5E775A"/>
    <w:rsid w:val="3BA73E4B"/>
    <w:rsid w:val="3BBF24F5"/>
    <w:rsid w:val="3BC35012"/>
    <w:rsid w:val="3BC51C79"/>
    <w:rsid w:val="3BCD7D39"/>
    <w:rsid w:val="3BDC0292"/>
    <w:rsid w:val="3BEB34FE"/>
    <w:rsid w:val="3BEC1325"/>
    <w:rsid w:val="3C176E3E"/>
    <w:rsid w:val="3C361791"/>
    <w:rsid w:val="3C3C3974"/>
    <w:rsid w:val="3C4A4AB6"/>
    <w:rsid w:val="3C5A3DB3"/>
    <w:rsid w:val="3C621681"/>
    <w:rsid w:val="3C894FFC"/>
    <w:rsid w:val="3C981449"/>
    <w:rsid w:val="3CB55C19"/>
    <w:rsid w:val="3CCF328C"/>
    <w:rsid w:val="3CDE6568"/>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754F6D"/>
    <w:rsid w:val="3EF0422F"/>
    <w:rsid w:val="3EFA680B"/>
    <w:rsid w:val="3EFB4D7A"/>
    <w:rsid w:val="3F060334"/>
    <w:rsid w:val="3F145D4C"/>
    <w:rsid w:val="3F147C6B"/>
    <w:rsid w:val="3F197C7E"/>
    <w:rsid w:val="3F2B14B8"/>
    <w:rsid w:val="3F4A49C3"/>
    <w:rsid w:val="3F4F5690"/>
    <w:rsid w:val="3F50488D"/>
    <w:rsid w:val="3F562A4B"/>
    <w:rsid w:val="3F631D42"/>
    <w:rsid w:val="3FA4574E"/>
    <w:rsid w:val="3FB06496"/>
    <w:rsid w:val="3FB903F1"/>
    <w:rsid w:val="3FBB5D90"/>
    <w:rsid w:val="3FD5526A"/>
    <w:rsid w:val="3FDC7AEC"/>
    <w:rsid w:val="3FF31D05"/>
    <w:rsid w:val="3FFB268E"/>
    <w:rsid w:val="4005696B"/>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7C2BED"/>
    <w:rsid w:val="42822646"/>
    <w:rsid w:val="42832850"/>
    <w:rsid w:val="428F1CD7"/>
    <w:rsid w:val="42AF26A3"/>
    <w:rsid w:val="42CB4E20"/>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1169E2"/>
    <w:rsid w:val="46190505"/>
    <w:rsid w:val="46426FEC"/>
    <w:rsid w:val="464628DE"/>
    <w:rsid w:val="46486C9B"/>
    <w:rsid w:val="46544CBA"/>
    <w:rsid w:val="46584E78"/>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D04EA8"/>
    <w:rsid w:val="49D228E7"/>
    <w:rsid w:val="49F56B93"/>
    <w:rsid w:val="49F74A02"/>
    <w:rsid w:val="4A0808B3"/>
    <w:rsid w:val="4A0C25EE"/>
    <w:rsid w:val="4A18756E"/>
    <w:rsid w:val="4A2310A3"/>
    <w:rsid w:val="4A3474BE"/>
    <w:rsid w:val="4A4A42BA"/>
    <w:rsid w:val="4A532C0D"/>
    <w:rsid w:val="4A5436F5"/>
    <w:rsid w:val="4A580FE6"/>
    <w:rsid w:val="4A582015"/>
    <w:rsid w:val="4A5E7F8F"/>
    <w:rsid w:val="4AFC0738"/>
    <w:rsid w:val="4AFC6FFF"/>
    <w:rsid w:val="4B0918EE"/>
    <w:rsid w:val="4B130525"/>
    <w:rsid w:val="4B315CC0"/>
    <w:rsid w:val="4B527DA7"/>
    <w:rsid w:val="4B7568A7"/>
    <w:rsid w:val="4B8428BA"/>
    <w:rsid w:val="4B8E1986"/>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16DF5"/>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A71B0"/>
    <w:rsid w:val="4F662981"/>
    <w:rsid w:val="4F862286"/>
    <w:rsid w:val="4F895A9E"/>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C2625"/>
    <w:rsid w:val="51056B50"/>
    <w:rsid w:val="51204143"/>
    <w:rsid w:val="515B495F"/>
    <w:rsid w:val="5160333E"/>
    <w:rsid w:val="516A4185"/>
    <w:rsid w:val="51734864"/>
    <w:rsid w:val="51780EB5"/>
    <w:rsid w:val="517837F5"/>
    <w:rsid w:val="51AB53DC"/>
    <w:rsid w:val="51F8741C"/>
    <w:rsid w:val="51FB1F8F"/>
    <w:rsid w:val="52201477"/>
    <w:rsid w:val="522B69B1"/>
    <w:rsid w:val="52511E70"/>
    <w:rsid w:val="526C0A1C"/>
    <w:rsid w:val="526E41CD"/>
    <w:rsid w:val="52816B3C"/>
    <w:rsid w:val="52AF408D"/>
    <w:rsid w:val="52D86C95"/>
    <w:rsid w:val="52E42A1B"/>
    <w:rsid w:val="531657B3"/>
    <w:rsid w:val="531C4649"/>
    <w:rsid w:val="53233CF7"/>
    <w:rsid w:val="53446D96"/>
    <w:rsid w:val="535031A3"/>
    <w:rsid w:val="535413E9"/>
    <w:rsid w:val="535C3FDC"/>
    <w:rsid w:val="53734E37"/>
    <w:rsid w:val="53754D41"/>
    <w:rsid w:val="53A92E18"/>
    <w:rsid w:val="53AF1FD7"/>
    <w:rsid w:val="53C60ED9"/>
    <w:rsid w:val="53EA723E"/>
    <w:rsid w:val="53F90DE2"/>
    <w:rsid w:val="53FE54F0"/>
    <w:rsid w:val="541976D9"/>
    <w:rsid w:val="54430EC9"/>
    <w:rsid w:val="544C39A8"/>
    <w:rsid w:val="54590F24"/>
    <w:rsid w:val="54653303"/>
    <w:rsid w:val="546E0F19"/>
    <w:rsid w:val="547E741E"/>
    <w:rsid w:val="54B1173C"/>
    <w:rsid w:val="54B900E8"/>
    <w:rsid w:val="54C37A60"/>
    <w:rsid w:val="54D321BD"/>
    <w:rsid w:val="54D837C7"/>
    <w:rsid w:val="54D93F0E"/>
    <w:rsid w:val="54DB1A60"/>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A77CA"/>
    <w:rsid w:val="55DE79CD"/>
    <w:rsid w:val="56067904"/>
    <w:rsid w:val="56086F50"/>
    <w:rsid w:val="5609777D"/>
    <w:rsid w:val="56280B38"/>
    <w:rsid w:val="564A0EDF"/>
    <w:rsid w:val="56621C1A"/>
    <w:rsid w:val="568672EA"/>
    <w:rsid w:val="569D640D"/>
    <w:rsid w:val="56B54E8D"/>
    <w:rsid w:val="56D71E1C"/>
    <w:rsid w:val="56D9527E"/>
    <w:rsid w:val="56E515BC"/>
    <w:rsid w:val="5710790D"/>
    <w:rsid w:val="57353DCD"/>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156447"/>
    <w:rsid w:val="59362588"/>
    <w:rsid w:val="597F5AE4"/>
    <w:rsid w:val="59980E6D"/>
    <w:rsid w:val="59BE109C"/>
    <w:rsid w:val="59E76B99"/>
    <w:rsid w:val="5A0307EA"/>
    <w:rsid w:val="5A3F5715"/>
    <w:rsid w:val="5A4B4079"/>
    <w:rsid w:val="5A5C60FA"/>
    <w:rsid w:val="5A6E0956"/>
    <w:rsid w:val="5A9778A2"/>
    <w:rsid w:val="5A9F1E38"/>
    <w:rsid w:val="5AB3289F"/>
    <w:rsid w:val="5ABA309E"/>
    <w:rsid w:val="5AD3284C"/>
    <w:rsid w:val="5AE57361"/>
    <w:rsid w:val="5AE71EA8"/>
    <w:rsid w:val="5AEB1022"/>
    <w:rsid w:val="5B004EBC"/>
    <w:rsid w:val="5B3F5F25"/>
    <w:rsid w:val="5B44106B"/>
    <w:rsid w:val="5B7072AE"/>
    <w:rsid w:val="5B941470"/>
    <w:rsid w:val="5B9D772A"/>
    <w:rsid w:val="5BE04D9C"/>
    <w:rsid w:val="5BEA739B"/>
    <w:rsid w:val="5BF56986"/>
    <w:rsid w:val="5C0038E0"/>
    <w:rsid w:val="5C1C0B21"/>
    <w:rsid w:val="5C367D15"/>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A51307"/>
    <w:rsid w:val="5DAF40F9"/>
    <w:rsid w:val="5DB91428"/>
    <w:rsid w:val="5DBD2C11"/>
    <w:rsid w:val="5DC052CB"/>
    <w:rsid w:val="5DC12BAC"/>
    <w:rsid w:val="5DC80ADD"/>
    <w:rsid w:val="5DCA02A6"/>
    <w:rsid w:val="5DE36137"/>
    <w:rsid w:val="5DF20E6E"/>
    <w:rsid w:val="5DFF53D5"/>
    <w:rsid w:val="5E290F41"/>
    <w:rsid w:val="5E35457B"/>
    <w:rsid w:val="5E54342E"/>
    <w:rsid w:val="5E6F2FB2"/>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3F55FD"/>
    <w:rsid w:val="60444590"/>
    <w:rsid w:val="60A04417"/>
    <w:rsid w:val="60AA6711"/>
    <w:rsid w:val="60AD1AA5"/>
    <w:rsid w:val="60B035DB"/>
    <w:rsid w:val="60BB6222"/>
    <w:rsid w:val="60C804D6"/>
    <w:rsid w:val="60D01808"/>
    <w:rsid w:val="60D77600"/>
    <w:rsid w:val="60E52A1C"/>
    <w:rsid w:val="60EC0314"/>
    <w:rsid w:val="60F5281A"/>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4823FD"/>
    <w:rsid w:val="63501255"/>
    <w:rsid w:val="63672656"/>
    <w:rsid w:val="637929CC"/>
    <w:rsid w:val="637F1B04"/>
    <w:rsid w:val="63840450"/>
    <w:rsid w:val="638E18BB"/>
    <w:rsid w:val="63B8183E"/>
    <w:rsid w:val="63D06753"/>
    <w:rsid w:val="63DA46C8"/>
    <w:rsid w:val="63E86798"/>
    <w:rsid w:val="63FC08AD"/>
    <w:rsid w:val="64067C3C"/>
    <w:rsid w:val="64107E50"/>
    <w:rsid w:val="64241587"/>
    <w:rsid w:val="64375735"/>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686654"/>
    <w:rsid w:val="677C6D8D"/>
    <w:rsid w:val="67942608"/>
    <w:rsid w:val="679E4221"/>
    <w:rsid w:val="67A21BC5"/>
    <w:rsid w:val="67A42436"/>
    <w:rsid w:val="67B31897"/>
    <w:rsid w:val="67B426C9"/>
    <w:rsid w:val="67E453A9"/>
    <w:rsid w:val="682A170E"/>
    <w:rsid w:val="68334B02"/>
    <w:rsid w:val="683A31C4"/>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3008FB"/>
    <w:rsid w:val="6A4928EE"/>
    <w:rsid w:val="6A4E0F35"/>
    <w:rsid w:val="6A650013"/>
    <w:rsid w:val="6A99044D"/>
    <w:rsid w:val="6AA212F4"/>
    <w:rsid w:val="6AAD7130"/>
    <w:rsid w:val="6ADD26BE"/>
    <w:rsid w:val="6B0F2991"/>
    <w:rsid w:val="6B0F3D85"/>
    <w:rsid w:val="6B173F6C"/>
    <w:rsid w:val="6B207DC0"/>
    <w:rsid w:val="6B2309E8"/>
    <w:rsid w:val="6B5C3B5E"/>
    <w:rsid w:val="6B623157"/>
    <w:rsid w:val="6B8E0A5B"/>
    <w:rsid w:val="6BB40BC2"/>
    <w:rsid w:val="6BB5292C"/>
    <w:rsid w:val="6BB52E88"/>
    <w:rsid w:val="6BBA7A31"/>
    <w:rsid w:val="6BD03B6C"/>
    <w:rsid w:val="6BE275A5"/>
    <w:rsid w:val="6BF21BDD"/>
    <w:rsid w:val="6BFE5681"/>
    <w:rsid w:val="6C003719"/>
    <w:rsid w:val="6C0E4559"/>
    <w:rsid w:val="6C351173"/>
    <w:rsid w:val="6C482D12"/>
    <w:rsid w:val="6C722724"/>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572D2C"/>
    <w:rsid w:val="6E751798"/>
    <w:rsid w:val="6E810801"/>
    <w:rsid w:val="6EA43553"/>
    <w:rsid w:val="6EA46D2C"/>
    <w:rsid w:val="6EDB653C"/>
    <w:rsid w:val="6EF973BE"/>
    <w:rsid w:val="6EF97AB4"/>
    <w:rsid w:val="6EFD73A5"/>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36A1B"/>
    <w:rsid w:val="71F60490"/>
    <w:rsid w:val="720E32C5"/>
    <w:rsid w:val="721A3D76"/>
    <w:rsid w:val="72231166"/>
    <w:rsid w:val="723972BB"/>
    <w:rsid w:val="72523A34"/>
    <w:rsid w:val="728B63C2"/>
    <w:rsid w:val="728C6D2A"/>
    <w:rsid w:val="7293058D"/>
    <w:rsid w:val="72984BE3"/>
    <w:rsid w:val="72B05249"/>
    <w:rsid w:val="72D0259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1F711B"/>
    <w:rsid w:val="74223167"/>
    <w:rsid w:val="74601EEF"/>
    <w:rsid w:val="7463505C"/>
    <w:rsid w:val="746B6140"/>
    <w:rsid w:val="748B68E7"/>
    <w:rsid w:val="748E1A13"/>
    <w:rsid w:val="748F2213"/>
    <w:rsid w:val="74972499"/>
    <w:rsid w:val="749A357B"/>
    <w:rsid w:val="749C3E2F"/>
    <w:rsid w:val="74AD3EE2"/>
    <w:rsid w:val="74DA6581"/>
    <w:rsid w:val="750A5AD6"/>
    <w:rsid w:val="7510342E"/>
    <w:rsid w:val="751034C4"/>
    <w:rsid w:val="75107ECB"/>
    <w:rsid w:val="752F304D"/>
    <w:rsid w:val="753E74BE"/>
    <w:rsid w:val="754334E3"/>
    <w:rsid w:val="754400B3"/>
    <w:rsid w:val="756018D0"/>
    <w:rsid w:val="756812FC"/>
    <w:rsid w:val="75686698"/>
    <w:rsid w:val="75CC16A7"/>
    <w:rsid w:val="75D5533F"/>
    <w:rsid w:val="75F4735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8A6009"/>
    <w:rsid w:val="79962ABC"/>
    <w:rsid w:val="799820D1"/>
    <w:rsid w:val="79AE23D6"/>
    <w:rsid w:val="79BA23AD"/>
    <w:rsid w:val="79E0766B"/>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810E0"/>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424885"/>
    <w:rsid w:val="7E497AF0"/>
    <w:rsid w:val="7E4F4F34"/>
    <w:rsid w:val="7E5D2686"/>
    <w:rsid w:val="7E6622F5"/>
    <w:rsid w:val="7E780ECF"/>
    <w:rsid w:val="7EAA2F10"/>
    <w:rsid w:val="7EBE5F69"/>
    <w:rsid w:val="7ED46A74"/>
    <w:rsid w:val="7F0236EF"/>
    <w:rsid w:val="7F0F4D4B"/>
    <w:rsid w:val="7F202782"/>
    <w:rsid w:val="7F2D3FC8"/>
    <w:rsid w:val="7F2F09B1"/>
    <w:rsid w:val="7F567090"/>
    <w:rsid w:val="7F5E5C21"/>
    <w:rsid w:val="7F675B10"/>
    <w:rsid w:val="7F6F603C"/>
    <w:rsid w:val="7FA20F48"/>
    <w:rsid w:val="7FA509C3"/>
    <w:rsid w:val="7FC47EC7"/>
    <w:rsid w:val="7FDE1EB2"/>
    <w:rsid w:val="7FF64246"/>
    <w:rsid w:val="7FFA5B0E"/>
    <w:rsid w:val="7FFA6280"/>
    <w:rsid w:val="7FFC0522"/>
    <w:rsid w:val="7FFD797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uiPriority w:val="0"/>
    <w:pPr>
      <w:ind w:firstLine="640"/>
    </w:pPr>
    <w:rPr>
      <w:rFonts w:hint="eastAsia" w:ascii="仿宋_GB2312" w:eastAsia="仿宋_GB2312"/>
      <w:sz w:val="30"/>
      <w:szCs w:val="30"/>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2025-04-09T01:32:00Z</dcterms:created>
  <dc:creator>杨慧祺</dc:creator>
  <cp:lastModifiedBy>宋伊琳</cp:lastModifiedBy>
  <dcterms:modified xsi:type="dcterms:W3CDTF">2025-09-12T03:27:39Z</dcterms:modified>
  <dc:title>非银行支付机构变更董事、监事或者</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2CA2F64F6E1A42B6BB30AD7D16905A88</vt:lpwstr>
  </property>
</Properties>
</file>