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非银行支付机构变更业务类型或者</w:t>
      </w:r>
    </w:p>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经营地域范围审批</w:t>
      </w:r>
    </w:p>
    <w:p>
      <w:pPr>
        <w:spacing w:line="560" w:lineRule="exact"/>
        <w:jc w:val="center"/>
        <w:rPr>
          <w:rFonts w:hint="eastAsia" w:ascii="黑体" w:hAnsi="黑体" w:eastAsia="黑体" w:cs="黑体"/>
          <w:b w:val="0"/>
          <w:bCs w:val="0"/>
          <w:strike w:val="0"/>
          <w:dstrike w:val="0"/>
          <w:color w:val="auto"/>
          <w:sz w:val="32"/>
          <w:szCs w:val="32"/>
          <w:highlight w:val="none"/>
          <w:lang w:eastAsia="zh-CN"/>
        </w:rPr>
      </w:pP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非银行支付机构变更业务类型或者经营地域范围审批</w:t>
      </w:r>
      <w:r>
        <w:rPr>
          <w:rFonts w:hint="eastAsia" w:ascii="仿宋_GB2312" w:hAnsi="仿宋_GB2312" w:eastAsia="仿宋_GB2312" w:cs="仿宋_GB2312"/>
          <w:strike w:val="0"/>
          <w:dstrike w:val="0"/>
          <w:sz w:val="32"/>
          <w:szCs w:val="32"/>
          <w:lang w:val="en-US" w:eastAsia="zh-CN"/>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住所所在地位于广西壮族自治区</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的非银行支付机构变更</w:t>
      </w:r>
      <w:r>
        <w:rPr>
          <w:rFonts w:hint="eastAsia" w:ascii="仿宋_GB2312" w:hAnsi="仿宋_GB2312" w:eastAsia="仿宋_GB2312" w:cs="仿宋_GB2312"/>
          <w:strike w:val="0"/>
          <w:dstrike w:val="0"/>
          <w:sz w:val="32"/>
          <w:szCs w:val="32"/>
          <w:lang w:val="en-US"/>
        </w:rPr>
        <w:t>业务类型或者经营地域范围</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rPr>
        <w:t>申请受理和初审办理</w:t>
      </w:r>
      <w:r>
        <w:rPr>
          <w:rFonts w:hint="eastAsia" w:ascii="仿宋_GB2312" w:hAnsi="仿宋_GB2312" w:eastAsia="仿宋_GB2312" w:cs="仿宋_GB2312"/>
          <w:sz w:val="32"/>
          <w:szCs w:val="32"/>
          <w:highlight w:val="none"/>
          <w:lang w:eastAsia="zh-CN"/>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前审后批</w:t>
      </w:r>
      <w:r>
        <w:rPr>
          <w:rFonts w:hint="eastAsia" w:ascii="仿宋_GB2312" w:hAnsi="仿宋_GB2312" w:eastAsia="仿宋_GB2312" w:cs="仿宋_GB2312"/>
          <w:color w:val="auto"/>
          <w:sz w:val="32"/>
          <w:szCs w:val="32"/>
          <w:lang w:eastAsia="zh-CN"/>
        </w:rPr>
        <w:t>。</w:t>
      </w:r>
    </w:p>
    <w:p>
      <w:pPr>
        <w:numPr>
          <w:ilvl w:val="0"/>
          <w:numId w:val="1"/>
        </w:numPr>
        <w:wordWrap/>
        <w:spacing w:beforeLines="0" w:afterLines="0" w:line="560" w:lineRule="exact"/>
        <w:ind w:firstLine="640" w:firstLineChars="200"/>
        <w:rPr>
          <w:rFonts w:hint="eastAsia" w:ascii="黑体" w:hAnsi="黑体" w:eastAsia="黑体" w:cs="黑体"/>
          <w:bCs w:val="0"/>
          <w:sz w:val="32"/>
          <w:szCs w:val="32"/>
        </w:rPr>
      </w:pPr>
      <w:r>
        <w:rPr>
          <w:rFonts w:hint="eastAsia" w:ascii="黑体" w:hAnsi="黑体" w:eastAsia="黑体" w:cs="黑体"/>
          <w:bCs/>
          <w:sz w:val="32"/>
          <w:szCs w:val="32"/>
        </w:rPr>
        <w:t>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wordWrap/>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（二）《中华人民共和国行政许可法》</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审核机构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rPr>
        <w:t>中国人民银行广西壮族自治区分行初审、中国人民银行复审。</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highlight w:val="none"/>
          <w:lang w:eastAsia="zh-CN"/>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数量限制</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无数量限制。</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行政许可条件</w:t>
      </w:r>
    </w:p>
    <w:p>
      <w:pPr>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（一）申请人条件</w:t>
      </w:r>
      <w:r>
        <w:rPr>
          <w:rFonts w:hint="eastAsia" w:ascii="楷体_GB2312" w:hAnsi="楷体_GB2312" w:eastAsia="楷体_GB2312" w:cs="楷体_GB2312"/>
          <w:sz w:val="32"/>
          <w:szCs w:val="32"/>
          <w:highlight w:val="none"/>
          <w:lang w:eastAsia="zh-CN"/>
        </w:rPr>
        <w:t>。</w:t>
      </w:r>
    </w:p>
    <w:p>
      <w:pPr>
        <w:pStyle w:val="6"/>
        <w:widowControl/>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1.具有保障用户合法权益、支付业务连续性的方案和措施。</w:t>
      </w:r>
    </w:p>
    <w:p>
      <w:pPr>
        <w:pStyle w:val="6"/>
        <w:widowControl/>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2.最近3年无重大违法违规记录。</w:t>
      </w:r>
    </w:p>
    <w:p>
      <w:pPr>
        <w:pStyle w:val="6"/>
        <w:widowControl/>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3.诚信记录良好。</w:t>
      </w:r>
    </w:p>
    <w:p>
      <w:pPr>
        <w:pStyle w:val="6"/>
        <w:widowControl/>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4.备付金管理机制健全有效。</w:t>
      </w:r>
    </w:p>
    <w:p>
      <w:pPr>
        <w:pStyle w:val="5"/>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（二）符合如下条件的，准予</w:t>
      </w:r>
      <w:r>
        <w:rPr>
          <w:rFonts w:hint="eastAsia" w:ascii="楷体_GB2312" w:hAnsi="楷体_GB2312" w:eastAsia="楷体_GB2312" w:cs="楷体_GB2312"/>
          <w:sz w:val="32"/>
          <w:szCs w:val="32"/>
          <w:lang w:eastAsia="zh-CN"/>
        </w:rPr>
        <w:t>行政许可。</w:t>
      </w:r>
    </w:p>
    <w:p>
      <w:pPr>
        <w:pStyle w:val="5"/>
        <w:spacing w:before="0" w:beforeLines="0" w:after="0" w:afterLines="0" w:line="560" w:lineRule="exact"/>
        <w:ind w:firstLineChars="200"/>
        <w:rPr>
          <w:rFonts w:hAnsi="仿宋_GB2312" w:cs="仿宋_GB2312"/>
          <w:sz w:val="32"/>
          <w:szCs w:val="32"/>
        </w:rPr>
      </w:pPr>
      <w:r>
        <w:rPr>
          <w:rFonts w:hAnsi="仿宋_GB2312" w:cs="仿宋_GB2312"/>
          <w:sz w:val="32"/>
          <w:szCs w:val="32"/>
        </w:rPr>
        <w:t>申请人满足《条例》《实施细则》相关规定，</w:t>
      </w:r>
      <w:r>
        <w:rPr>
          <w:rFonts w:hint="eastAsia" w:ascii="仿宋_GB2312" w:eastAsia="仿宋_GB2312" w:cs="仿宋_GB2312"/>
          <w:color w:val="auto"/>
          <w:sz w:val="32"/>
          <w:szCs w:val="32"/>
        </w:rPr>
        <w:t>提交的申请材料齐全、符合法定形式。</w:t>
      </w:r>
    </w:p>
    <w:p>
      <w:pPr>
        <w:pStyle w:val="5"/>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（三）有如下情形的，不予</w:t>
      </w:r>
      <w:r>
        <w:rPr>
          <w:rFonts w:hint="eastAsia" w:ascii="楷体_GB2312" w:hAnsi="楷体_GB2312" w:eastAsia="楷体_GB2312" w:cs="楷体_GB2312"/>
          <w:sz w:val="32"/>
          <w:szCs w:val="32"/>
          <w:lang w:eastAsia="zh-CN"/>
        </w:rPr>
        <w:t>行政许可。</w:t>
      </w:r>
    </w:p>
    <w:p>
      <w:pPr>
        <w:pStyle w:val="5"/>
        <w:widowControl w:val="0"/>
        <w:wordWrap/>
        <w:adjustRightInd/>
        <w:snapToGrid/>
        <w:spacing w:before="0" w:beforeLines="0" w:after="0" w:afterLines="0" w:line="560" w:lineRule="exact"/>
        <w:ind w:left="0" w:leftChars="0" w:right="0" w:firstLine="640" w:firstLineChars="200"/>
        <w:jc w:val="both"/>
        <w:textAlignment w:val="auto"/>
        <w:outlineLvl w:val="9"/>
        <w:rPr>
          <w:rFonts w:hAnsi="仿宋_GB2312" w:cs="仿宋_GB2312"/>
          <w:sz w:val="32"/>
          <w:szCs w:val="32"/>
        </w:rPr>
      </w:pPr>
      <w:r>
        <w:rPr>
          <w:rFonts w:hAnsi="仿宋_GB2312" w:cs="仿宋_GB2312"/>
          <w:sz w:val="32"/>
          <w:szCs w:val="32"/>
        </w:rPr>
        <w:t>申请人</w:t>
      </w:r>
      <w:r>
        <w:rPr>
          <w:rFonts w:hint="eastAsia" w:hAnsi="仿宋_GB2312" w:cs="仿宋_GB2312"/>
          <w:sz w:val="32"/>
          <w:szCs w:val="32"/>
          <w:lang w:eastAsia="zh-CN"/>
        </w:rPr>
        <w:t>不</w:t>
      </w:r>
      <w:r>
        <w:rPr>
          <w:rFonts w:hAnsi="仿宋_GB2312" w:cs="仿宋_GB2312"/>
          <w:sz w:val="32"/>
          <w:szCs w:val="32"/>
        </w:rPr>
        <w:t>满足《条例》《实施细则》相关规定，变更事项</w:t>
      </w:r>
      <w:r>
        <w:rPr>
          <w:rFonts w:hint="eastAsia" w:hAnsi="仿宋_GB2312" w:cs="仿宋_GB2312"/>
          <w:sz w:val="32"/>
          <w:szCs w:val="32"/>
          <w:lang w:eastAsia="zh-CN"/>
        </w:rPr>
        <w:t>不</w:t>
      </w:r>
      <w:r>
        <w:rPr>
          <w:rFonts w:hAnsi="仿宋_GB2312" w:cs="仿宋_GB2312"/>
          <w:sz w:val="32"/>
          <w:szCs w:val="32"/>
        </w:rPr>
        <w:t>符合法定条件、标准。</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w:t>
      </w:r>
      <w:r>
        <w:rPr>
          <w:rFonts w:hint="default" w:ascii="仿宋_GB2312" w:hAnsi="仿宋_GB2312" w:eastAsia="仿宋_GB2312" w:cs="仿宋_GB2312"/>
          <w:b w:val="0"/>
          <w:bCs w:val="0"/>
          <w:strike w:val="0"/>
          <w:dstrike w:val="0"/>
          <w:color w:val="auto"/>
          <w:sz w:val="32"/>
          <w:szCs w:val="32"/>
          <w:lang w:val="en-US" w:eastAsia="zh-CN"/>
        </w:rPr>
        <w:t>新增业务类型或者扩大经营地域范围</w:t>
      </w:r>
      <w:r>
        <w:rPr>
          <w:rFonts w:hint="eastAsia" w:ascii="仿宋_GB2312" w:hAnsi="仿宋_GB2312" w:eastAsia="仿宋_GB2312" w:cs="仿宋_GB2312"/>
          <w:b w:val="0"/>
          <w:bCs w:val="0"/>
          <w:strike w:val="0"/>
          <w:dstrike w:val="0"/>
          <w:color w:val="auto"/>
          <w:sz w:val="32"/>
          <w:szCs w:val="32"/>
          <w:lang w:val="en-US" w:eastAsia="zh-CN"/>
        </w:rPr>
        <w:t>材料，参照设立有关规定提交，具体包括：</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default" w:ascii="仿宋_GB2312" w:hAnsi="仿宋_GB2312" w:eastAsia="仿宋_GB2312" w:cs="仿宋_GB2312"/>
          <w:b w:val="0"/>
          <w:bCs w:val="0"/>
          <w:strike w:val="0"/>
          <w:dstrike w:val="0"/>
          <w:color w:val="auto"/>
          <w:sz w:val="32"/>
          <w:szCs w:val="32"/>
          <w:lang w:val="en-US" w:eastAsia="zh-CN"/>
        </w:rPr>
        <w:t>书面申请，载明申请人</w:t>
      </w:r>
      <w:r>
        <w:rPr>
          <w:rFonts w:hint="eastAsia" w:ascii="仿宋_GB2312" w:hAnsi="仿宋_GB2312" w:eastAsia="仿宋_GB2312" w:cs="仿宋_GB2312"/>
          <w:b w:val="0"/>
          <w:bCs w:val="0"/>
          <w:strike w:val="0"/>
          <w:dstrike w:val="0"/>
          <w:color w:val="auto"/>
          <w:sz w:val="32"/>
          <w:szCs w:val="32"/>
          <w:lang w:val="en-US" w:eastAsia="zh-CN"/>
        </w:rPr>
        <w:t>基本情况、变更原因、变更方案等</w:t>
      </w:r>
      <w:r>
        <w:rPr>
          <w:rFonts w:hint="default" w:ascii="仿宋_GB2312" w:hAnsi="仿宋_GB2312" w:eastAsia="仿宋_GB2312" w:cs="仿宋_GB2312"/>
          <w:b w:val="0"/>
          <w:bCs w:val="0"/>
          <w:strike w:val="0"/>
          <w:dstrike w:val="0"/>
          <w:color w:val="auto"/>
          <w:sz w:val="32"/>
          <w:szCs w:val="32"/>
          <w:lang w:val="en-US" w:eastAsia="zh-CN"/>
        </w:rPr>
        <w:t>。</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w:t>
      </w:r>
      <w:r>
        <w:rPr>
          <w:rFonts w:hint="default" w:ascii="仿宋_GB2312" w:hAnsi="仿宋_GB2312" w:eastAsia="仿宋_GB2312" w:cs="仿宋_GB2312"/>
          <w:b w:val="0"/>
          <w:bCs w:val="0"/>
          <w:strike w:val="0"/>
          <w:dstrike w:val="0"/>
          <w:color w:val="auto"/>
          <w:sz w:val="32"/>
          <w:szCs w:val="32"/>
          <w:lang w:val="en-US" w:eastAsia="zh-CN"/>
        </w:rPr>
        <w:t>公司章程草案。</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w:t>
      </w:r>
      <w:r>
        <w:rPr>
          <w:rFonts w:hint="default" w:ascii="仿宋_GB2312" w:hAnsi="仿宋_GB2312" w:eastAsia="仿宋_GB2312" w:cs="仿宋_GB2312"/>
          <w:b w:val="0"/>
          <w:bCs w:val="0"/>
          <w:strike w:val="0"/>
          <w:dstrike w:val="0"/>
          <w:color w:val="auto"/>
          <w:sz w:val="32"/>
          <w:szCs w:val="32"/>
          <w:lang w:val="en-US" w:eastAsia="zh-CN"/>
        </w:rPr>
        <w:t>验资证明或者公司资本情况材料。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default" w:ascii="仿宋_GB2312" w:hAnsi="仿宋_GB2312" w:eastAsia="仿宋_GB2312" w:cs="仿宋_GB2312"/>
          <w:b w:val="0"/>
          <w:bCs w:val="0"/>
          <w:strike w:val="0"/>
          <w:dstrike w:val="0"/>
          <w:color w:val="auto"/>
          <w:sz w:val="32"/>
          <w:szCs w:val="32"/>
          <w:lang w:val="en-US" w:eastAsia="zh-CN"/>
        </w:rPr>
        <w:t>主要股东、实际控制人材料。</w:t>
      </w:r>
      <w:r>
        <w:rPr>
          <w:rFonts w:hint="eastAsia" w:ascii="仿宋_GB2312" w:hAnsi="仿宋_GB2312" w:eastAsia="仿宋_GB2312" w:cs="仿宋_GB2312"/>
          <w:color w:val="auto"/>
          <w:sz w:val="32"/>
          <w:szCs w:val="32"/>
          <w:lang w:eastAsia="zh-CN"/>
        </w:rPr>
        <w:t>主要股东材料包括：</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（1）申请人股东关联关系说明材料，以及股权结构和控制框架图。</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（2）营业执照（副本）复印件，或者有效身份证件复印件、个人履历。</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（3）财务状况和出资情况说明材料，含出资方资金来源说明，以及最近2年经会计师事务所审计的财务会计报告或者个人财务状况说明。</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（4）</w:t>
      </w:r>
      <w:r>
        <w:rPr>
          <w:rFonts w:hint="eastAsia" w:ascii="仿宋" w:hAnsi="仿宋" w:eastAsia="仿宋" w:cs="仿宋"/>
          <w:b w:val="0"/>
          <w:bCs w:val="0"/>
          <w:strike w:val="0"/>
          <w:dstrike w:val="0"/>
          <w:color w:val="auto"/>
          <w:sz w:val="32"/>
          <w:szCs w:val="32"/>
          <w:lang w:val="en-US" w:eastAsia="zh-CN"/>
        </w:rPr>
        <w:t>无</w:t>
      </w:r>
      <w:r>
        <w:rPr>
          <w:rFonts w:hint="eastAsia" w:ascii="仿宋_GB2312" w:hAnsi="仿宋_GB2312" w:eastAsia="仿宋_GB2312" w:cs="仿宋_GB2312"/>
          <w:b w:val="0"/>
          <w:bCs w:val="0"/>
          <w:strike w:val="0"/>
          <w:dstrike w:val="0"/>
          <w:color w:val="auto"/>
          <w:sz w:val="32"/>
          <w:szCs w:val="32"/>
          <w:lang w:val="en-US" w:eastAsia="zh-CN"/>
        </w:rPr>
        <w:t>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（5）诚信记录良好材料，含企业或者个人征信报告，以及其他能够</w:t>
      </w:r>
      <w:r>
        <w:rPr>
          <w:rFonts w:hint="eastAsia" w:ascii="仿宋_GB2312" w:hAnsi="仿宋_GB2312" w:eastAsia="仿宋_GB2312" w:cs="仿宋_GB2312"/>
          <w:b w:val="0"/>
          <w:bCs w:val="0"/>
          <w:strike w:val="0"/>
          <w:dstrike w:val="0"/>
          <w:color w:val="auto"/>
          <w:sz w:val="32"/>
          <w:szCs w:val="32"/>
          <w:lang w:val="en-US" w:eastAsia="zh-CN"/>
        </w:rPr>
        <w:t>说明诚信记录良好的相关材料。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（6）</w:t>
      </w:r>
      <w:r>
        <w:rPr>
          <w:rFonts w:hint="eastAsia" w:ascii="仿宋_GB2312" w:hAnsi="仿宋_GB2312" w:eastAsia="仿宋_GB2312" w:cs="仿宋_GB2312"/>
          <w:b w:val="0"/>
          <w:bCs w:val="0"/>
          <w:strike w:val="0"/>
          <w:dstrike w:val="0"/>
          <w:color w:val="auto"/>
          <w:sz w:val="32"/>
          <w:szCs w:val="32"/>
          <w:lang w:val="en-US" w:eastAsia="zh-CN"/>
        </w:rPr>
        <w:t>股权稳定性和补充资本承诺书，含主要股东3年内不再变更的承诺，以及非银行支付机构发生风险事件影响其正常运营、损害用户合法权益时，主要股东补充资本的承诺。</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主要股东为金融机构的，还应当提供金融业务许可证复印件、准予投资申请人的批复文件或者其他相关材料。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实际控制人材料</w:t>
      </w:r>
      <w:r>
        <w:rPr>
          <w:rFonts w:hint="eastAsia" w:ascii="仿宋_GB2312" w:hAnsi="仿宋_GB2312" w:eastAsia="仿宋_GB2312" w:cs="仿宋_GB2312"/>
          <w:color w:val="auto"/>
          <w:sz w:val="32"/>
          <w:szCs w:val="32"/>
          <w:lang w:eastAsia="zh-CN"/>
        </w:rPr>
        <w:t>包括：</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（1）申请人实际控制权和控制关系说明材料。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（2）营业执照（副本）复印件，或者有效身份证件复印件、个人履历。</w:t>
      </w:r>
    </w:p>
    <w:p>
      <w:pPr>
        <w:wordWrap/>
        <w:adjustRightInd/>
        <w:snapToGrid/>
        <w:spacing w:beforeLines="0" w:afterLines="0" w:line="560" w:lineRule="exact"/>
        <w:ind w:firstLine="640" w:firstLineChars="200"/>
        <w:textAlignment w:val="auto"/>
        <w:rPr>
          <w:rFonts w:hint="eastAsia" w:ascii="仿宋" w:hAnsi="仿宋" w:eastAsia="仿宋" w:cs="仿宋"/>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（3）财务状况和出资情况说明材料，含出资方资金来源说明，以及最近2年经会计师事务所审计的财务会计报告或者个</w:t>
      </w:r>
      <w:r>
        <w:rPr>
          <w:rFonts w:hint="eastAsia" w:ascii="仿宋" w:hAnsi="仿宋" w:eastAsia="仿宋" w:cs="仿宋"/>
          <w:b w:val="0"/>
          <w:bCs w:val="0"/>
          <w:strike w:val="0"/>
          <w:dstrike w:val="0"/>
          <w:color w:val="auto"/>
          <w:sz w:val="32"/>
          <w:szCs w:val="32"/>
          <w:lang w:val="en-US" w:eastAsia="zh-CN"/>
        </w:rPr>
        <w:t>人财务状况说明。</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640" w:firstLineChars="200"/>
        <w:textAlignment w:val="auto"/>
        <w:rPr>
          <w:rFonts w:hint="eastAsia" w:ascii="仿宋" w:hAnsi="仿宋" w:eastAsia="仿宋" w:cs="仿宋"/>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（5）诚信记录良好材料，含企业或者个人征信报告，以及其他能够说明诚信记录良好的相关材料。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（6）股</w:t>
      </w:r>
      <w:r>
        <w:rPr>
          <w:rFonts w:hint="eastAsia" w:ascii="仿宋_GB2312" w:hAnsi="仿宋_GB2312" w:eastAsia="仿宋_GB2312" w:cs="仿宋_GB2312"/>
          <w:b w:val="0"/>
          <w:bCs w:val="0"/>
          <w:strike w:val="0"/>
          <w:dstrike w:val="0"/>
          <w:color w:val="auto"/>
          <w:sz w:val="32"/>
          <w:szCs w:val="32"/>
          <w:lang w:val="en-US" w:eastAsia="zh-CN"/>
        </w:rPr>
        <w:t>权稳定性承诺书，含实际控制人3年内不再变更的承诺。</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实际控制人为自然人的，还应当提交其实际控制的公司最近2年经营情况说明材料、最近2年经会计师事务所审计的财务会计报告或者其他相关材料。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z w:val="32"/>
          <w:szCs w:val="32"/>
        </w:rPr>
        <w:t>上述实际控制的公司，指申请人实际控制权和控制关系说明材料中，实际控制人控制的、除非银行支付机构之外财务状况良好的公司。</w:t>
      </w:r>
    </w:p>
    <w:p>
      <w:pPr>
        <w:widowControl/>
        <w:numPr>
          <w:numId w:val="0"/>
        </w:num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default" w:ascii="仿宋_GB2312" w:hAnsi="仿宋_GB2312" w:eastAsia="仿宋_GB2312" w:cs="仿宋_GB2312"/>
          <w:b w:val="0"/>
          <w:bCs w:val="0"/>
          <w:strike w:val="0"/>
          <w:dstrike w:val="0"/>
          <w:color w:val="auto"/>
          <w:sz w:val="32"/>
          <w:szCs w:val="32"/>
          <w:lang w:val="en-US" w:eastAsia="zh-CN"/>
        </w:rPr>
        <w:t>拟任董事、监事和高级管理人员材料。</w:t>
      </w:r>
      <w:r>
        <w:rPr>
          <w:rFonts w:hint="eastAsia" w:ascii="仿宋_GB2312" w:hAnsi="仿宋_GB2312" w:eastAsia="仿宋_GB2312" w:cs="仿宋_GB2312"/>
          <w:b w:val="0"/>
          <w:bCs w:val="0"/>
          <w:strike w:val="0"/>
          <w:dstrike w:val="0"/>
          <w:color w:val="auto"/>
          <w:sz w:val="32"/>
          <w:szCs w:val="32"/>
          <w:lang w:val="en-US" w:eastAsia="zh-CN"/>
        </w:rPr>
        <w:t>材料</w:t>
      </w:r>
      <w:r>
        <w:rPr>
          <w:rFonts w:hint="eastAsia" w:ascii="仿宋_GB2312" w:hAnsi="仿宋_GB2312" w:eastAsia="仿宋_GB2312" w:cs="仿宋_GB2312"/>
          <w:color w:val="auto"/>
          <w:sz w:val="32"/>
          <w:szCs w:val="32"/>
          <w:lang w:eastAsia="zh-CN"/>
        </w:rPr>
        <w:t>包括：</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（1）有效身份证件复印件。</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（2）个人履历和相关说明材料。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（3）高级管理人员学历证书复印件。</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（5）</w:t>
      </w:r>
      <w:r>
        <w:rPr>
          <w:rFonts w:hint="eastAsia" w:ascii="仿宋_GB2312" w:hAnsi="仿宋_GB2312" w:eastAsia="仿宋_GB2312" w:cs="仿宋_GB2312"/>
          <w:b w:val="0"/>
          <w:bCs w:val="0"/>
          <w:strike w:val="0"/>
          <w:dstrike w:val="0"/>
          <w:color w:val="auto"/>
          <w:sz w:val="32"/>
          <w:szCs w:val="32"/>
          <w:lang w:val="en-US" w:eastAsia="zh-CN"/>
        </w:rPr>
        <w:t>诚信记录良好材料，含个人征信报告，以及其他能够说明诚信记录良好的相关材料。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（6）</w:t>
      </w:r>
      <w:r>
        <w:rPr>
          <w:rFonts w:hint="eastAsia" w:ascii="仿宋_GB2312" w:hAnsi="仿宋_GB2312" w:eastAsia="仿宋_GB2312" w:cs="仿宋_GB2312"/>
          <w:b w:val="0"/>
          <w:bCs w:val="0"/>
          <w:strike w:val="0"/>
          <w:dstrike w:val="0"/>
          <w:color w:val="auto"/>
          <w:sz w:val="32"/>
          <w:szCs w:val="32"/>
          <w:lang w:val="en-US" w:eastAsia="zh-CN"/>
        </w:rPr>
        <w:t>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default" w:ascii="仿宋_GB2312" w:hAnsi="仿宋_GB2312" w:eastAsia="仿宋_GB2312" w:cs="仿宋_GB2312"/>
          <w:b w:val="0"/>
          <w:bCs w:val="0"/>
          <w:strike w:val="0"/>
          <w:dstrike w:val="0"/>
          <w:color w:val="auto"/>
          <w:sz w:val="32"/>
          <w:szCs w:val="32"/>
          <w:lang w:val="en-US" w:eastAsia="zh-CN"/>
        </w:rPr>
        <w:t>拟设立非银行支付机构的组织机构设置方案、内部控制制度、风险管理制度、退出预案以及用户合法权益保障机制材料。</w:t>
      </w:r>
    </w:p>
    <w:p>
      <w:pPr>
        <w:widowControl/>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w:t>
      </w:r>
      <w:r>
        <w:rPr>
          <w:rFonts w:hint="default" w:ascii="仿宋_GB2312" w:hAnsi="仿宋_GB2312" w:eastAsia="仿宋_GB2312" w:cs="仿宋_GB2312"/>
          <w:b w:val="0"/>
          <w:bCs w:val="0"/>
          <w:strike w:val="0"/>
          <w:dstrike w:val="0"/>
          <w:color w:val="auto"/>
          <w:sz w:val="32"/>
          <w:szCs w:val="32"/>
          <w:lang w:val="en-US" w:eastAsia="zh-CN"/>
        </w:rPr>
        <w:t>支付业务发展规划和可行性研究报告。</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eastAsia" w:ascii="仿宋_GB2312" w:hAnsi="仿宋_GB2312" w:eastAsia="仿宋_GB2312" w:cs="仿宋_GB2312"/>
          <w:b w:val="0"/>
          <w:bCs w:val="0"/>
          <w:strike w:val="0"/>
          <w:dstrike w:val="0"/>
          <w:color w:val="auto"/>
          <w:sz w:val="32"/>
          <w:szCs w:val="32"/>
          <w:lang w:val="en-US" w:eastAsia="zh-CN"/>
        </w:rPr>
        <w:t>拟从事支付业务的市场前景分析。</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（2）拟从事支付业务的处理流程，载明从用户发起支付业务到完成用户委托支付业务各环节的业务内容以及相关资金流转情况。</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拟从事支付业务的风险分析和管理措施，并对支付业务各环节分别进行说明。</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（3）拟从事支付业务的成本和经济效益分析。</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拟申请不同类型支付业务的，应当按照支付业务类型分别提供前款规定内容。</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8.</w:t>
      </w:r>
      <w:r>
        <w:rPr>
          <w:rFonts w:hint="default" w:ascii="仿宋_GB2312" w:hAnsi="仿宋_GB2312" w:eastAsia="仿宋_GB2312" w:cs="仿宋_GB2312"/>
          <w:b w:val="0"/>
          <w:bCs w:val="0"/>
          <w:strike w:val="0"/>
          <w:dstrike w:val="0"/>
          <w:color w:val="auto"/>
          <w:sz w:val="32"/>
          <w:szCs w:val="32"/>
          <w:lang w:val="en-US" w:eastAsia="zh-CN"/>
        </w:rPr>
        <w:t>反洗钱和反恐怖融资措施材料。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eastAsia" w:ascii="仿宋_GB2312" w:hAnsi="仿宋_GB2312" w:eastAsia="仿宋_GB2312" w:cs="仿宋_GB2312"/>
          <w:b w:val="0"/>
          <w:bCs w:val="0"/>
          <w:strike w:val="0"/>
          <w:dstrike w:val="0"/>
          <w:color w:val="auto"/>
          <w:sz w:val="32"/>
          <w:szCs w:val="32"/>
          <w:lang w:val="en-US" w:eastAsia="zh-CN"/>
        </w:rPr>
        <w:t>反洗钱内部控制制度文件，载明反洗钱合规管理框架、客户尽职调查和客户身份资料及交易记录保存措施、大额和可疑交易报告措施、反洗钱审计和培训措施、协助反洗钱调查的内部程序、反洗钱工作保密措施。</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（2）反洗钱岗位设置和职责说明，载明负责反洗钱工作的内设机构、反洗钱高级管理人员和专职反洗钱工作人员及其联系方式。</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开展大额和可疑交易监测的技术条件说明。</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洗钱风险自评估制度，《条例》施行前已按照有关规定设立的非银行支付机构还应当提交已完成的洗钱风险自评估报告。</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9.</w:t>
      </w:r>
      <w:r>
        <w:rPr>
          <w:rFonts w:hint="default" w:ascii="仿宋_GB2312" w:hAnsi="仿宋_GB2312" w:eastAsia="仿宋_GB2312" w:cs="仿宋_GB2312"/>
          <w:b w:val="0"/>
          <w:bCs w:val="0"/>
          <w:strike w:val="0"/>
          <w:dstrike w:val="0"/>
          <w:color w:val="auto"/>
          <w:sz w:val="32"/>
          <w:szCs w:val="32"/>
          <w:lang w:val="en-US" w:eastAsia="zh-CN"/>
        </w:rPr>
        <w:t>支付业务设施材料。</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（1）支付业务设施机房部署情况。非银行支付机构生产中心机房原则上应当与非银行支付机构主要经营场所所在地位于同一省、自治区、直辖市。</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w:t>
      </w:r>
      <w:r>
        <w:rPr>
          <w:rFonts w:hint="eastAsia" w:ascii="仿宋_GB2312" w:hAnsi="仿宋_GB2312" w:eastAsia="仿宋_GB2312" w:cs="仿宋_GB2312"/>
          <w:b w:val="0"/>
          <w:bCs w:val="0"/>
          <w:strike w:val="0"/>
          <w:dstrike w:val="0"/>
          <w:color w:val="auto"/>
          <w:sz w:val="32"/>
          <w:szCs w:val="32"/>
          <w:lang w:val="en-US" w:eastAsia="zh-CN"/>
        </w:rPr>
        <w:t>支付业务设施符合中国人民银行规定的业务规范、技术标准和安全要求说明材料。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10.</w:t>
      </w:r>
      <w:r>
        <w:rPr>
          <w:rFonts w:hint="default" w:ascii="仿宋_GB2312" w:hAnsi="仿宋_GB2312" w:eastAsia="仿宋_GB2312" w:cs="仿宋_GB2312"/>
          <w:b w:val="0"/>
          <w:bCs w:val="0"/>
          <w:strike w:val="0"/>
          <w:dstrike w:val="0"/>
          <w:color w:val="auto"/>
          <w:sz w:val="32"/>
          <w:szCs w:val="32"/>
          <w:lang w:val="en-US" w:eastAsia="zh-CN"/>
        </w:rPr>
        <w:t>有符合规定的经营场所材料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strike w:val="0"/>
          <w:dstrike w:val="0"/>
          <w:color w:val="auto"/>
          <w:sz w:val="32"/>
          <w:szCs w:val="32"/>
          <w:lang w:val="en-US" w:eastAsia="zh-CN"/>
        </w:rPr>
        <w:t>包括住所所有权或者使用权的说明材料，以及经营场所安全的相关材料。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11.</w:t>
      </w:r>
      <w:r>
        <w:rPr>
          <w:rFonts w:hint="default" w:ascii="仿宋_GB2312" w:hAnsi="仿宋_GB2312" w:eastAsia="仿宋_GB2312" w:cs="仿宋_GB2312"/>
          <w:b w:val="0"/>
          <w:bCs w:val="0"/>
          <w:strike w:val="0"/>
          <w:dstrike w:val="0"/>
          <w:color w:val="auto"/>
          <w:sz w:val="32"/>
          <w:szCs w:val="32"/>
          <w:lang w:val="en-US" w:eastAsia="zh-CN"/>
        </w:rPr>
        <w:t>申请材料真实性声明。</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b w:val="0"/>
          <w:bCs w:val="0"/>
          <w:strike w:val="0"/>
          <w:dstrike w:val="0"/>
          <w:color w:val="auto"/>
          <w:sz w:val="32"/>
          <w:szCs w:val="32"/>
          <w:lang w:val="en-US" w:eastAsia="zh-CN"/>
        </w:rPr>
        <w:t>二</w:t>
      </w:r>
      <w:r>
        <w:rPr>
          <w:rFonts w:hint="default" w:ascii="仿宋_GB2312" w:hAnsi="仿宋_GB2312" w:eastAsia="仿宋_GB2312" w:cs="仿宋_GB2312"/>
          <w:b w:val="0"/>
          <w:bCs w:val="0"/>
          <w:strike w:val="0"/>
          <w:dstrike w:val="0"/>
          <w:color w:val="auto"/>
          <w:sz w:val="32"/>
          <w:szCs w:val="32"/>
          <w:lang w:val="en-US" w:eastAsia="zh-CN"/>
        </w:rPr>
        <w:t>）缩减业务类型或者缩小经营地域范围</w:t>
      </w:r>
      <w:r>
        <w:rPr>
          <w:rFonts w:hint="eastAsia" w:ascii="仿宋_GB2312" w:hAnsi="仿宋_GB2312" w:eastAsia="仿宋_GB2312" w:cs="仿宋_GB2312"/>
          <w:b w:val="0"/>
          <w:bCs w:val="0"/>
          <w:strike w:val="0"/>
          <w:dstrike w:val="0"/>
          <w:color w:val="auto"/>
          <w:sz w:val="32"/>
          <w:szCs w:val="32"/>
          <w:lang w:val="en-US" w:eastAsia="zh-CN"/>
        </w:rPr>
        <w:t>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default" w:ascii="仿宋_GB2312" w:hAnsi="仿宋_GB2312" w:eastAsia="仿宋_GB2312" w:cs="仿宋_GB2312"/>
          <w:b w:val="0"/>
          <w:bCs w:val="0"/>
          <w:strike w:val="0"/>
          <w:dstrike w:val="0"/>
          <w:color w:val="auto"/>
          <w:sz w:val="32"/>
          <w:szCs w:val="32"/>
          <w:lang w:val="en-US" w:eastAsia="zh-CN"/>
        </w:rPr>
        <w:t>书面申请，载明申请人基本情况、变更原因、变更方案等。</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w:t>
      </w:r>
      <w:r>
        <w:rPr>
          <w:rFonts w:hint="default" w:ascii="仿宋_GB2312" w:hAnsi="仿宋_GB2312" w:eastAsia="仿宋_GB2312" w:cs="仿宋_GB2312"/>
          <w:b w:val="0"/>
          <w:bCs w:val="0"/>
          <w:strike w:val="0"/>
          <w:dstrike w:val="0"/>
          <w:color w:val="auto"/>
          <w:sz w:val="32"/>
          <w:szCs w:val="32"/>
          <w:lang w:val="en-US" w:eastAsia="zh-CN"/>
        </w:rPr>
        <w:t>申请人相关材料，包括：</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default" w:ascii="仿宋_GB2312" w:hAnsi="仿宋_GB2312" w:eastAsia="仿宋_GB2312" w:cs="仿宋_GB2312"/>
          <w:b w:val="0"/>
          <w:bCs w:val="0"/>
          <w:strike w:val="0"/>
          <w:dstrike w:val="0"/>
          <w:color w:val="auto"/>
          <w:sz w:val="32"/>
          <w:szCs w:val="32"/>
          <w:lang w:val="en-US" w:eastAsia="zh-CN"/>
        </w:rPr>
        <w:t>营业执照（副本）复印件和支付业务许可证复印件。</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2</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诚信记录良好材料，含企业征信报告，以及其他能够说明诚信记录良好的相关材料。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备付金安全承诺。</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公司合规经营情况说明，含最近3年经营情况、被投诉举报情况、受到行政处罚或者被采取监管措施情况，以及上述相关问题的整改情况。</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w:t>
      </w:r>
      <w:r>
        <w:rPr>
          <w:rFonts w:hint="default" w:ascii="仿宋_GB2312" w:hAnsi="仿宋_GB2312" w:eastAsia="仿宋_GB2312" w:cs="仿宋_GB2312"/>
          <w:b w:val="0"/>
          <w:bCs w:val="0"/>
          <w:strike w:val="0"/>
          <w:dstrike w:val="0"/>
          <w:color w:val="auto"/>
          <w:sz w:val="32"/>
          <w:szCs w:val="32"/>
          <w:lang w:val="en-US" w:eastAsia="zh-CN"/>
        </w:rPr>
        <w:t>股东会或者其他有权决定机构同意申请人拟变更的决议文件。</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default" w:ascii="仿宋_GB2312" w:hAnsi="仿宋_GB2312" w:eastAsia="仿宋_GB2312" w:cs="仿宋_GB2312"/>
          <w:b w:val="0"/>
          <w:bCs w:val="0"/>
          <w:strike w:val="0"/>
          <w:dstrike w:val="0"/>
          <w:color w:val="auto"/>
          <w:sz w:val="32"/>
          <w:szCs w:val="32"/>
          <w:lang w:val="en-US" w:eastAsia="zh-CN"/>
        </w:rPr>
        <w:t>调整方案和公告，包括业务调整方案和时间安排、用户权益保障、风险控制和舆情应对方案、支付业务信息处理方案、调整公告样式和其他需要说明的事项。</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default" w:ascii="仿宋_GB2312" w:hAnsi="仿宋_GB2312" w:eastAsia="仿宋_GB2312" w:cs="仿宋_GB2312"/>
          <w:b w:val="0"/>
          <w:bCs w:val="0"/>
          <w:strike w:val="0"/>
          <w:dstrike w:val="0"/>
          <w:color w:val="auto"/>
          <w:sz w:val="32"/>
          <w:szCs w:val="32"/>
          <w:lang w:val="en-US" w:eastAsia="zh-CN"/>
        </w:rPr>
        <w:t>涉及业务承接的，应当提交各有关方签订的承接协议复印件，支付业务信息移交协议或者用户身份资料和交易记录移交协议复印件，与承接方的关联关系说明等。若承接方为非银行支付机构的，承接方应当提交承接后备付金安全承诺。</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default" w:ascii="仿宋_GB2312" w:hAnsi="仿宋_GB2312" w:eastAsia="仿宋_GB2312" w:cs="仿宋_GB2312"/>
          <w:b w:val="0"/>
          <w:bCs w:val="0"/>
          <w:strike w:val="0"/>
          <w:dstrike w:val="0"/>
          <w:color w:val="auto"/>
          <w:sz w:val="32"/>
          <w:szCs w:val="32"/>
          <w:lang w:val="en-US" w:eastAsia="zh-CN"/>
        </w:rPr>
        <w:t>申请材料真实性声明。</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（一）接收申请材料</w:t>
      </w:r>
      <w:r>
        <w:rPr>
          <w:rFonts w:hint="eastAsia" w:ascii="楷体_GB2312" w:hAnsi="楷体_GB2312" w:eastAsia="楷体_GB2312" w:cs="楷体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接收申请人提交的申请材料，并清点材料数量。</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2.清点无误的，中国人民银行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向申请人出具材料接收凭证。</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（二）出具受理意见</w:t>
      </w:r>
      <w:r>
        <w:rPr>
          <w:rFonts w:hint="eastAsia" w:ascii="楷体_GB2312" w:hAnsi="楷体_GB2312" w:eastAsia="楷体_GB2312" w:cs="楷体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对申请材料进行初步审核，视以下不同情况出具受理意见：</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对于申请材料不齐全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不符合法定形式或者存在错误不能当场更正的，中国人民银行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退回已经收到的全部申请材料</w:t>
      </w:r>
      <w:r>
        <w:rPr>
          <w:rFonts w:hint="eastAsia" w:ascii="仿宋_GB2312" w:hAnsi="仿宋_GB2312" w:eastAsia="仿宋_GB2312" w:cs="仿宋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对于申请人</w:t>
      </w:r>
      <w:r>
        <w:rPr>
          <w:rFonts w:hint="eastAsia" w:ascii="仿宋_GB2312" w:hAnsi="仿宋_GB2312" w:eastAsia="仿宋_GB2312" w:cs="仿宋_GB2312"/>
          <w:color w:val="auto"/>
          <w:sz w:val="32"/>
          <w:szCs w:val="32"/>
          <w:u w:val="none"/>
          <w:lang w:eastAsia="zh-CN"/>
        </w:rPr>
        <w:t>申请事项不属于中国人民银行职权范围</w:t>
      </w:r>
      <w:r>
        <w:rPr>
          <w:rFonts w:hint="eastAsia" w:ascii="仿宋_GB2312" w:hAnsi="仿宋_GB2312" w:eastAsia="仿宋_GB2312" w:cs="仿宋_GB2312"/>
          <w:color w:val="auto"/>
          <w:sz w:val="32"/>
          <w:szCs w:val="32"/>
          <w:u w:val="none"/>
          <w:lang w:eastAsia="zh-CN"/>
        </w:rPr>
        <w:t>，或者</w:t>
      </w:r>
      <w:r>
        <w:rPr>
          <w:rFonts w:hint="eastAsia" w:ascii="仿宋_GB2312" w:hAnsi="仿宋_GB2312" w:eastAsia="仿宋_GB2312" w:cs="仿宋_GB2312"/>
          <w:color w:val="auto"/>
          <w:sz w:val="32"/>
          <w:szCs w:val="32"/>
          <w:lang w:eastAsia="zh-CN"/>
        </w:rPr>
        <w:t>提供的补正材料不齐全、不符合法定形式，补正后仍存在不符合受理条件的其他情形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eastAsia="zh-CN"/>
        </w:rPr>
        <w:t>，中国人民银行广西壮族自治区分行不予受理，并出具加盖本行行政许可专用章的不予受理决定书，说明不予受理的理由和依据，退回已经收到的全部申请材料。</w:t>
      </w:r>
    </w:p>
    <w:p>
      <w:pPr>
        <w:widowControl w:val="0"/>
        <w:spacing w:beforeLines="0" w:after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中国人民银行广西壮族自治区分行于收到申请材料或者全部补正申请材料之日起5个工作日内，出具加盖本行行政许可专用章并注明受理日期的行政许可受理通知书。</w:t>
      </w:r>
    </w:p>
    <w:p>
      <w:pPr>
        <w:widowControl w:val="0"/>
        <w:spacing w:beforeLines="0" w:afterLines="0" w:line="560" w:lineRule="exact"/>
        <w:ind w:firstLine="640" w:firstLineChars="200"/>
        <w:rPr>
          <w:rFonts w:hint="eastAsia" w:ascii="仿宋_GB2312" w:hAnsi="仿宋_GB2312" w:eastAsia="仿宋_GB2312" w:cs="仿宋_GB2312"/>
          <w:sz w:val="32"/>
          <w:szCs w:val="32"/>
          <w:lang w:eastAsia="zh-CN"/>
        </w:rPr>
      </w:pPr>
      <w:r>
        <w:rPr>
          <w:rFonts w:hint="default" w:ascii="仿宋_GB2312" w:hAnsi="仿宋_GB2312" w:eastAsia="仿宋_GB2312" w:cs="仿宋_GB2312"/>
          <w:b w:val="0"/>
          <w:bCs w:val="0"/>
          <w:strike w:val="0"/>
          <w:dstrike w:val="0"/>
          <w:color w:val="auto"/>
          <w:sz w:val="32"/>
          <w:szCs w:val="32"/>
          <w:lang w:val="en-US" w:eastAsia="zh-CN"/>
        </w:rPr>
        <w:t>新增业务类型或者扩大经营地域范围</w:t>
      </w:r>
      <w:r>
        <w:rPr>
          <w:rFonts w:hint="eastAsia" w:ascii="仿宋_GB2312" w:hAnsi="仿宋_GB2312" w:eastAsia="仿宋_GB2312" w:cs="仿宋_GB2312"/>
          <w:b w:val="0"/>
          <w:bCs w:val="0"/>
          <w:strike w:val="0"/>
          <w:dstrike w:val="0"/>
          <w:sz w:val="32"/>
          <w:szCs w:val="32"/>
          <w:lang w:val="en-US" w:eastAsia="zh-CN"/>
        </w:rPr>
        <w:t>申请人自收到受理通知之日起10</w:t>
      </w:r>
      <w:r>
        <w:rPr>
          <w:rFonts w:hint="eastAsia" w:ascii="仿宋_GB2312" w:hAnsi="仿宋_GB2312" w:eastAsia="仿宋_GB2312" w:cs="仿宋_GB2312"/>
          <w:b w:val="0"/>
          <w:bCs w:val="0"/>
          <w:strike w:val="0"/>
          <w:dstrike w:val="0"/>
          <w:color w:val="auto"/>
          <w:sz w:val="32"/>
          <w:szCs w:val="32"/>
          <w:lang w:val="en-US" w:eastAsia="zh-CN"/>
        </w:rPr>
        <w:t>个工作</w:t>
      </w:r>
      <w:r>
        <w:rPr>
          <w:rFonts w:hint="eastAsia" w:ascii="仿宋_GB2312" w:hAnsi="仿宋_GB2312" w:eastAsia="仿宋_GB2312" w:cs="仿宋_GB2312"/>
          <w:b w:val="0"/>
          <w:bCs w:val="0"/>
          <w:strike w:val="0"/>
          <w:dstrike w:val="0"/>
          <w:sz w:val="32"/>
          <w:szCs w:val="32"/>
          <w:lang w:val="en-US" w:eastAsia="zh-CN"/>
        </w:rPr>
        <w:t>日内</w:t>
      </w:r>
      <w:r>
        <w:rPr>
          <w:rFonts w:hint="eastAsia" w:ascii="仿宋_GB2312" w:hAnsi="仿宋_GB2312" w:eastAsia="仿宋_GB2312" w:cs="仿宋_GB2312"/>
          <w:b w:val="0"/>
          <w:bCs w:val="0"/>
          <w:strike w:val="0"/>
          <w:dstrike w:val="0"/>
          <w:color w:val="auto"/>
          <w:sz w:val="32"/>
          <w:szCs w:val="32"/>
          <w:lang w:val="en-US" w:eastAsia="zh-CN"/>
        </w:rPr>
        <w:t>，向中国人民银行广西壮族自治区分行提交公告材料，由</w:t>
      </w:r>
      <w:r>
        <w:rPr>
          <w:rFonts w:hint="eastAsia" w:ascii="仿宋_GB2312" w:hAnsi="仿宋_GB2312" w:eastAsia="仿宋_GB2312" w:cs="仿宋_GB2312"/>
          <w:b w:val="0"/>
          <w:bCs w:val="0"/>
          <w:strike w:val="0"/>
          <w:dstrike w:val="0"/>
          <w:sz w:val="32"/>
          <w:szCs w:val="32"/>
          <w:lang w:val="en-US" w:eastAsia="zh-CN"/>
        </w:rPr>
        <w:t>中国人民银行广西壮族自治区分行</w:t>
      </w:r>
      <w:r>
        <w:rPr>
          <w:rFonts w:hint="eastAsia" w:ascii="仿宋_GB2312" w:hAnsi="仿宋_GB2312" w:eastAsia="仿宋_GB2312" w:cs="仿宋_GB2312"/>
          <w:b w:val="0"/>
          <w:bCs w:val="0"/>
          <w:strike w:val="0"/>
          <w:dstrike w:val="0"/>
          <w:color w:val="auto"/>
          <w:sz w:val="32"/>
          <w:szCs w:val="32"/>
          <w:lang w:val="en-US" w:eastAsia="zh-CN"/>
        </w:rPr>
        <w:t>在其</w:t>
      </w:r>
      <w:r>
        <w:rPr>
          <w:rFonts w:hint="eastAsia" w:ascii="仿宋_GB2312" w:hAnsi="仿宋_GB2312" w:eastAsia="仿宋_GB2312" w:cs="仿宋_GB2312"/>
          <w:b w:val="0"/>
          <w:bCs w:val="0"/>
          <w:strike w:val="0"/>
          <w:dstrike w:val="0"/>
          <w:sz w:val="32"/>
          <w:szCs w:val="32"/>
          <w:lang w:val="en-US" w:eastAsia="zh-CN"/>
        </w:rPr>
        <w:t>网站上连续公告《非银行支付机构监督管理条例实施细则》第十九条所列事项20</w:t>
      </w:r>
      <w:r>
        <w:rPr>
          <w:rFonts w:hint="eastAsia" w:ascii="仿宋_GB2312" w:hAnsi="仿宋_GB2312" w:eastAsia="仿宋_GB2312" w:cs="仿宋_GB2312"/>
          <w:b w:val="0"/>
          <w:bCs w:val="0"/>
          <w:strike w:val="0"/>
          <w:dstrike w:val="0"/>
          <w:color w:val="auto"/>
          <w:sz w:val="32"/>
          <w:szCs w:val="32"/>
          <w:lang w:val="en-US" w:eastAsia="zh-CN"/>
        </w:rPr>
        <w:t>个工作</w:t>
      </w:r>
      <w:r>
        <w:rPr>
          <w:rFonts w:hint="eastAsia" w:ascii="仿宋_GB2312" w:hAnsi="仿宋_GB2312" w:eastAsia="仿宋_GB2312" w:cs="仿宋_GB2312"/>
          <w:b w:val="0"/>
          <w:bCs w:val="0"/>
          <w:strike w:val="0"/>
          <w:dstrike w:val="0"/>
          <w:sz w:val="32"/>
          <w:szCs w:val="32"/>
          <w:lang w:val="en-US" w:eastAsia="zh-CN"/>
        </w:rPr>
        <w:t>日。</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对于受理、不予受理或者要求补正申请材料的通知书，</w:t>
      </w:r>
      <w:r>
        <w:rPr>
          <w:rFonts w:hint="eastAsia" w:ascii="仿宋_GB2312" w:hAnsi="仿宋_GB2312" w:eastAsia="仿宋_GB2312" w:cs="仿宋_GB2312"/>
          <w:color w:val="auto"/>
          <w:sz w:val="32"/>
          <w:szCs w:val="32"/>
          <w:lang w:eastAsia="zh-CN"/>
        </w:rPr>
        <w:t>除即时告知的外，中国人民银行广西壮族自治区分行</w:t>
      </w:r>
      <w:r>
        <w:rPr>
          <w:rFonts w:hint="eastAsia" w:ascii="仿宋_GB2312" w:hAnsi="仿宋_GB2312" w:eastAsia="仿宋_GB2312" w:cs="仿宋_GB2312"/>
          <w:color w:val="auto"/>
          <w:sz w:val="32"/>
          <w:szCs w:val="32"/>
        </w:rPr>
        <w:t>自相关文书作出之日起5个工作日内送达当事人。</w:t>
      </w:r>
    </w:p>
    <w:p>
      <w:pPr>
        <w:wordWrap/>
        <w:adjustRightInd/>
        <w:snapToGrid/>
        <w:spacing w:beforeLines="0" w:afterLines="0"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（三）中国人民银行</w:t>
      </w:r>
      <w:r>
        <w:rPr>
          <w:rFonts w:hint="eastAsia" w:ascii="楷体_GB2312" w:hAnsi="楷体_GB2312" w:eastAsia="楷体_GB2312" w:cs="楷体_GB2312"/>
          <w:color w:val="auto"/>
          <w:sz w:val="32"/>
          <w:szCs w:val="32"/>
          <w:lang w:eastAsia="zh-CN"/>
        </w:rPr>
        <w:t>广西壮族自治区分行初审</w:t>
      </w:r>
      <w:r>
        <w:rPr>
          <w:rFonts w:hint="eastAsia" w:ascii="楷体_GB2312" w:hAnsi="楷体_GB2312" w:eastAsia="楷体_GB2312" w:cs="楷体_GB2312"/>
          <w:color w:val="auto"/>
          <w:sz w:val="32"/>
          <w:szCs w:val="32"/>
          <w:lang w:eastAsia="zh-CN"/>
        </w:rPr>
        <w:t>。</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val="0"/>
          <w:bCs w:val="0"/>
          <w:strike w:val="0"/>
          <w:dstrike w:val="0"/>
          <w:color w:val="auto"/>
          <w:sz w:val="32"/>
          <w:szCs w:val="32"/>
          <w:lang w:val="en-US" w:eastAsia="zh-CN"/>
        </w:rPr>
        <w:t>新增业务类型或者扩大经营地域范围</w:t>
      </w:r>
      <w:r>
        <w:rPr>
          <w:rFonts w:hint="eastAsia" w:ascii="仿宋_GB2312" w:hAnsi="仿宋_GB2312" w:eastAsia="仿宋_GB2312" w:cs="仿宋_GB2312"/>
          <w:b w:val="0"/>
          <w:bCs w:val="0"/>
          <w:strike w:val="0"/>
          <w:dstrike w:val="0"/>
          <w:color w:val="auto"/>
          <w:sz w:val="32"/>
          <w:szCs w:val="32"/>
          <w:lang w:val="en-US" w:eastAsia="zh-CN"/>
        </w:rPr>
        <w:t>的，中国人民银行广西壮族自治区分行自受理申请之日起对申请材料进行初步审查，</w:t>
      </w:r>
      <w:r>
        <w:rPr>
          <w:rFonts w:hint="eastAsia" w:ascii="仿宋_GB2312" w:hAnsi="仿宋_GB2312" w:eastAsia="仿宋_GB2312" w:cs="仿宋_GB2312"/>
          <w:color w:val="auto"/>
          <w:sz w:val="32"/>
          <w:szCs w:val="32"/>
        </w:rPr>
        <w:t>结合材料审核</w:t>
      </w:r>
      <w:r>
        <w:rPr>
          <w:rFonts w:hint="eastAsia" w:ascii="仿宋_GB2312" w:hAnsi="仿宋_GB2312" w:eastAsia="仿宋_GB2312" w:cs="仿宋_GB2312"/>
          <w:color w:val="auto"/>
          <w:sz w:val="32"/>
          <w:szCs w:val="32"/>
          <w:highlight w:val="none"/>
        </w:rPr>
        <w:t>和公众反馈信息</w:t>
      </w:r>
      <w:r>
        <w:rPr>
          <w:rFonts w:hint="eastAsia" w:ascii="仿宋_GB2312" w:hAnsi="仿宋_GB2312" w:eastAsia="仿宋_GB2312" w:cs="仿宋_GB2312"/>
          <w:b w:val="0"/>
          <w:bCs w:val="0"/>
          <w:strike w:val="0"/>
          <w:dstrike w:val="0"/>
          <w:color w:val="auto"/>
          <w:sz w:val="32"/>
          <w:szCs w:val="32"/>
          <w:highlight w:val="none"/>
          <w:lang w:val="en-US" w:eastAsia="zh-CN"/>
        </w:rPr>
        <w:t>将变更申请材料、行政许可受理通知书和初步审查意见报中国人民银行；</w:t>
      </w:r>
      <w:r>
        <w:rPr>
          <w:rFonts w:hint="default" w:ascii="仿宋_GB2312" w:hAnsi="仿宋_GB2312" w:eastAsia="仿宋_GB2312" w:cs="仿宋_GB2312"/>
          <w:b w:val="0"/>
          <w:bCs w:val="0"/>
          <w:strike w:val="0"/>
          <w:dstrike w:val="0"/>
          <w:color w:val="auto"/>
          <w:sz w:val="32"/>
          <w:szCs w:val="32"/>
          <w:highlight w:val="none"/>
          <w:lang w:val="en-US" w:eastAsia="zh-CN"/>
        </w:rPr>
        <w:t>缩减业务类型或者缩小经营地域范围</w:t>
      </w:r>
      <w:r>
        <w:rPr>
          <w:rFonts w:hint="eastAsia" w:ascii="仿宋_GB2312" w:hAnsi="仿宋_GB2312" w:eastAsia="仿宋_GB2312" w:cs="仿宋_GB2312"/>
          <w:b w:val="0"/>
          <w:bCs w:val="0"/>
          <w:strike w:val="0"/>
          <w:dstrike w:val="0"/>
          <w:color w:val="auto"/>
          <w:sz w:val="32"/>
          <w:szCs w:val="32"/>
          <w:highlight w:val="none"/>
          <w:lang w:val="en-US" w:eastAsia="zh-CN"/>
        </w:rPr>
        <w:t>的，中国人民银行广西壮族自治区分行自受理申请之日起对申请材料进行初步审查，对于</w:t>
      </w:r>
      <w:r>
        <w:rPr>
          <w:rFonts w:hint="default" w:ascii="仿宋_GB2312" w:hAnsi="仿宋_GB2312" w:eastAsia="仿宋_GB2312" w:cs="仿宋_GB2312"/>
          <w:b w:val="0"/>
          <w:bCs w:val="0"/>
          <w:strike w:val="0"/>
          <w:dstrike w:val="0"/>
          <w:color w:val="auto"/>
          <w:sz w:val="32"/>
          <w:szCs w:val="32"/>
          <w:highlight w:val="none"/>
          <w:lang w:val="en-US" w:eastAsia="zh-CN"/>
        </w:rPr>
        <w:t>缩小经营地域范围</w:t>
      </w:r>
      <w:r>
        <w:rPr>
          <w:rFonts w:hint="eastAsia" w:ascii="仿宋_GB2312" w:hAnsi="仿宋_GB2312" w:eastAsia="仿宋_GB2312" w:cs="仿宋_GB2312"/>
          <w:b w:val="0"/>
          <w:bCs w:val="0"/>
          <w:strike w:val="0"/>
          <w:dstrike w:val="0"/>
          <w:color w:val="auto"/>
          <w:sz w:val="32"/>
          <w:szCs w:val="32"/>
          <w:highlight w:val="none"/>
          <w:lang w:val="en-US" w:eastAsia="zh-CN"/>
        </w:rPr>
        <w:t>的，同时向拟不再展业地中国人民银行的分支机构征求意见，结合材料审核和征求意见情况将变更申请材料</w:t>
      </w:r>
      <w:r>
        <w:rPr>
          <w:rFonts w:hint="eastAsia" w:ascii="仿宋_GB2312" w:hAnsi="仿宋_GB2312" w:eastAsia="仿宋_GB2312" w:cs="仿宋_GB2312"/>
          <w:color w:val="auto"/>
          <w:sz w:val="32"/>
          <w:szCs w:val="32"/>
          <w:highlight w:val="none"/>
          <w:lang w:val="en-US" w:eastAsia="zh-CN"/>
        </w:rPr>
        <w:t>、行政许可受理通知书</w:t>
      </w:r>
      <w:r>
        <w:rPr>
          <w:rFonts w:hint="eastAsia" w:ascii="仿宋_GB2312" w:hAnsi="仿宋_GB2312" w:eastAsia="仿宋_GB2312" w:cs="仿宋_GB2312"/>
          <w:sz w:val="32"/>
          <w:szCs w:val="32"/>
        </w:rPr>
        <w:t>和</w:t>
      </w:r>
      <w:r>
        <w:rPr>
          <w:rFonts w:hint="eastAsia" w:ascii="仿宋_GB2312" w:hAnsi="仿宋_GB2312" w:eastAsia="仿宋_GB2312" w:cs="仿宋_GB2312"/>
          <w:b w:val="0"/>
          <w:bCs w:val="0"/>
          <w:strike w:val="0"/>
          <w:dstrike w:val="0"/>
          <w:color w:val="auto"/>
          <w:sz w:val="32"/>
          <w:szCs w:val="32"/>
          <w:highlight w:val="none"/>
          <w:lang w:val="en-US" w:eastAsia="zh-CN"/>
        </w:rPr>
        <w:t>初步审查意见报中国人民银行。</w:t>
      </w:r>
    </w:p>
    <w:p>
      <w:pPr>
        <w:pStyle w:val="6"/>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人民银行广西壮族自治区分行可以通过实地调查、面谈、征求有关部门意见等方式对申请材料进行核实。审查过程中，若发现申请人提交的申请材料存在实质性问题，可能影响作出行政许可决定的，中国人民银行广西壮族自治区分行可以要求申请人限期对申请材料进一步修改、完善，或者解释说明。申请人在合理期限内拒不修改、完善、解释说明，或者修改、完善、解释说明后仍存在实质性问题的，中国人民银行广西壮族自治区分行继续审查，不利后果由申请人承担。</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办理时限</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受理之日起</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个月内</w:t>
      </w:r>
      <w:r>
        <w:rPr>
          <w:rFonts w:hint="eastAsia" w:ascii="仿宋_GB2312" w:hAnsi="仿宋_GB2312" w:eastAsia="仿宋_GB2312" w:cs="仿宋_GB2312"/>
          <w:color w:val="auto"/>
          <w:sz w:val="32"/>
          <w:szCs w:val="32"/>
          <w:highlight w:val="none"/>
          <w:lang w:eastAsia="zh-CN"/>
        </w:rPr>
        <w:t>作出</w:t>
      </w:r>
      <w:r>
        <w:rPr>
          <w:rFonts w:hint="eastAsia" w:ascii="仿宋_GB2312" w:hAnsi="仿宋_GB2312" w:eastAsia="仿宋_GB2312" w:cs="仿宋_GB2312"/>
          <w:b w:val="0"/>
          <w:bCs w:val="0"/>
          <w:strike w:val="0"/>
          <w:dstrike w:val="0"/>
          <w:color w:val="auto"/>
          <w:sz w:val="32"/>
          <w:szCs w:val="32"/>
          <w:highlight w:val="none"/>
          <w:lang w:val="en-US" w:eastAsia="zh-CN"/>
        </w:rPr>
        <w:t>批准或者不予批</w:t>
      </w:r>
      <w:r>
        <w:rPr>
          <w:rFonts w:hint="eastAsia" w:ascii="仿宋_GB2312" w:hAnsi="仿宋_GB2312" w:eastAsia="仿宋_GB2312" w:cs="仿宋_GB2312"/>
          <w:color w:val="auto"/>
          <w:sz w:val="32"/>
          <w:szCs w:val="32"/>
          <w:highlight w:val="none"/>
          <w:lang w:val="en-US" w:eastAsia="zh-CN"/>
        </w:rPr>
        <w:t>准的决定</w:t>
      </w:r>
      <w:r>
        <w:rPr>
          <w:rFonts w:hint="eastAsia" w:ascii="仿宋_GB2312" w:hAnsi="仿宋_GB2312" w:eastAsia="仿宋_GB2312" w:cs="仿宋_GB2312"/>
          <w:color w:val="auto"/>
          <w:sz w:val="32"/>
          <w:szCs w:val="32"/>
          <w:highlight w:val="none"/>
        </w:rPr>
        <w:t>。其中，《中国人民银行行政许可实施办法》（中国人民银行令〔2020〕第1号</w:t>
      </w:r>
      <w:r>
        <w:rPr>
          <w:rFonts w:hint="eastAsia" w:ascii="仿宋_GB2312" w:hAnsi="仿宋_GB2312" w:eastAsia="仿宋_GB2312" w:cs="仿宋_GB2312"/>
          <w:color w:val="auto"/>
          <w:sz w:val="32"/>
          <w:szCs w:val="32"/>
          <w:highlight w:val="none"/>
          <w:lang w:eastAsia="zh-CN"/>
        </w:rPr>
        <w:t>发布</w:t>
      </w:r>
      <w:r>
        <w:rPr>
          <w:rFonts w:hint="eastAsia" w:ascii="仿宋_GB2312" w:hAnsi="仿宋_GB2312" w:eastAsia="仿宋_GB2312" w:cs="仿宋_GB2312"/>
          <w:color w:val="auto"/>
          <w:sz w:val="32"/>
          <w:szCs w:val="32"/>
          <w:highlight w:val="none"/>
        </w:rPr>
        <w:t>）第三十三条规定的相关程序不计入时限。</w:t>
      </w:r>
    </w:p>
    <w:p>
      <w:pPr>
        <w:numPr>
          <w:ilvl w:val="0"/>
          <w:numId w:val="1"/>
        </w:num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sz w:val="32"/>
          <w:szCs w:val="32"/>
          <w:highlight w:val="none"/>
          <w:lang w:val="en-US" w:eastAsia="zh-CN"/>
        </w:rPr>
        <w:t>审批结果和送达</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中国人民银行根据审批结果作出行政许可决定，</w:t>
      </w:r>
      <w:r>
        <w:rPr>
          <w:rFonts w:hint="eastAsia" w:ascii="仿宋_GB2312" w:hAnsi="仿宋_GB2312" w:eastAsia="仿宋_GB2312" w:cs="仿宋_GB2312"/>
          <w:color w:val="auto"/>
          <w:sz w:val="32"/>
          <w:szCs w:val="32"/>
          <w:highlight w:val="none"/>
          <w:lang w:eastAsia="zh-CN"/>
        </w:rPr>
        <w:t>准予许可的，出具准予行政许可决定书并予以公告；不予许可的，出具不予许可决定书。中国人民银行广西壮族自治区分行根据行政许可决定将准予行政许可决定书或不予行政许可决定书送达申请人。</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numPr>
          <w:ilvl w:val="0"/>
          <w:numId w:val="1"/>
        </w:numPr>
        <w:spacing w:beforeLines="0" w:afterLines="0" w:line="560" w:lineRule="exact"/>
        <w:ind w:firstLine="640" w:firstLineChars="200"/>
        <w:rPr>
          <w:rFonts w:hint="eastAsia" w:ascii="黑体" w:hAnsi="黑体" w:eastAsia="黑体"/>
          <w:sz w:val="32"/>
          <w:szCs w:val="32"/>
          <w:highlight w:val="none"/>
        </w:rPr>
      </w:pPr>
      <w:r>
        <w:rPr>
          <w:rFonts w:hint="eastAsia" w:ascii="黑体" w:hAnsi="黑体" w:eastAsia="黑体" w:cs="黑体"/>
          <w:color w:val="auto"/>
          <w:sz w:val="32"/>
          <w:szCs w:val="32"/>
          <w:highlight w:val="none"/>
        </w:rPr>
        <w:t>行政相对人权利和义务</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楷体_GB2312" w:eastAsia="楷体_GB2312" w:cs="楷体_GB2312"/>
          <w:color w:val="auto"/>
          <w:sz w:val="32"/>
          <w:szCs w:val="32"/>
          <w:highlight w:val="none"/>
        </w:rPr>
        <w:t>（一）依据《中华人民共和国行政许可法》等，申请人依法享有以下权利</w:t>
      </w:r>
      <w:r>
        <w:rPr>
          <w:rFonts w:hint="eastAsia" w:ascii="楷体_GB2312" w:eastAsia="楷体_GB2312" w:cs="楷体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1.依法取得行政许可的平等权利。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2.依法申请行政复议和行政诉讼的权利。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楷体_GB2312" w:eastAsia="楷体_GB2312" w:cs="楷体_GB2312"/>
          <w:color w:val="auto"/>
          <w:sz w:val="32"/>
          <w:szCs w:val="32"/>
          <w:highlight w:val="none"/>
        </w:rPr>
        <w:t>（二）依据《中华人民共和国行政许可法》等，申请人依法履行以下义务</w:t>
      </w:r>
      <w:r>
        <w:rPr>
          <w:rFonts w:hint="eastAsia" w:ascii="楷体_GB2312" w:eastAsia="楷体_GB2312" w:cs="楷体_GB2312"/>
          <w:color w:val="auto"/>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1.保证申请材料实质内容的真实、准确和完整，无虚假记载、误导性陈述或重大遗漏；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2.配合人民银行工作人员做好材料签收交接手续；</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3.按要求及时补正申请材料。</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sz w:val="32"/>
          <w:szCs w:val="32"/>
        </w:rPr>
        <w:t>咨询</w:t>
      </w:r>
      <w:r>
        <w:rPr>
          <w:rFonts w:hint="eastAsia" w:ascii="黑体" w:hAnsi="黑体" w:eastAsia="黑体" w:cs="黑体"/>
          <w:sz w:val="32"/>
          <w:szCs w:val="32"/>
          <w:highlight w:val="none"/>
          <w:lang w:val="en-US" w:eastAsia="zh-CN"/>
        </w:rPr>
        <w:t>途径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支付结算部门，联系电话：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771-6111430</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信函投诉：广西南宁市青秀区滨湖路58号中国人民银行广西壮族自治区分行，0771-6111709，邮编530028。</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南宁市青秀区滨湖路</w:t>
      </w:r>
      <w:r>
        <w:rPr>
          <w:rFonts w:hint="eastAsia" w:ascii="仿宋_GB2312" w:hAnsi="仿宋_GB2312" w:eastAsia="仿宋_GB2312" w:cs="仿宋_GB2312"/>
          <w:sz w:val="32"/>
          <w:szCs w:val="32"/>
          <w:lang w:val="en-US" w:eastAsia="zh-CN"/>
        </w:rPr>
        <w:t>58号</w:t>
      </w:r>
      <w:r>
        <w:rPr>
          <w:rFonts w:hint="eastAsia" w:ascii="仿宋_GB2312" w:hAnsi="仿宋_GB2312" w:eastAsia="仿宋_GB2312" w:cs="仿宋_GB2312"/>
          <w:sz w:val="32"/>
          <w:szCs w:val="32"/>
          <w:lang w:eastAsia="zh-CN"/>
        </w:rPr>
        <w:t>。</w:t>
      </w:r>
    </w:p>
    <w:p>
      <w:pPr>
        <w:spacing w:beforeLines="0" w:afterLines="0" w:line="560" w:lineRule="exact"/>
        <w:ind w:firstLine="640" w:firstLineChars="200"/>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6075246">
    <w:nsid w:val="37CB5FEE"/>
    <w:multiLevelType w:val="singleLevel"/>
    <w:tmpl w:val="37CB5FEE"/>
    <w:lvl w:ilvl="0" w:tentative="1">
      <w:start w:val="1"/>
      <w:numFmt w:val="chineseCounting"/>
      <w:suff w:val="nothing"/>
      <w:lvlText w:val="%1、"/>
      <w:lvlJc w:val="left"/>
      <w:rPr>
        <w:rFonts w:hint="eastAsia" w:ascii="黑体" w:hAnsi="黑体" w:eastAsia="黑体" w:cs="黑体"/>
      </w:rPr>
    </w:lvl>
  </w:abstractNum>
  <w:num w:numId="1">
    <w:abstractNumId w:val="9360752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C150CC5"/>
    <w:rsid w:val="0007733C"/>
    <w:rsid w:val="00225A0D"/>
    <w:rsid w:val="00247180"/>
    <w:rsid w:val="00315283"/>
    <w:rsid w:val="004229ED"/>
    <w:rsid w:val="00426837"/>
    <w:rsid w:val="00475B4A"/>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9B1EFB"/>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6013F0D"/>
    <w:rsid w:val="06044E8D"/>
    <w:rsid w:val="06154828"/>
    <w:rsid w:val="062A2DC3"/>
    <w:rsid w:val="06307967"/>
    <w:rsid w:val="063A2011"/>
    <w:rsid w:val="06535974"/>
    <w:rsid w:val="065F41A9"/>
    <w:rsid w:val="066A6C8B"/>
    <w:rsid w:val="067A2B37"/>
    <w:rsid w:val="067F3DBE"/>
    <w:rsid w:val="0686468F"/>
    <w:rsid w:val="069B7C33"/>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269AB"/>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9B2D0B"/>
    <w:rsid w:val="0EAE57DE"/>
    <w:rsid w:val="0EBA0609"/>
    <w:rsid w:val="0EBE4E20"/>
    <w:rsid w:val="0EC30EE8"/>
    <w:rsid w:val="0ECD47F2"/>
    <w:rsid w:val="0ED64446"/>
    <w:rsid w:val="0EE87854"/>
    <w:rsid w:val="0EF3129F"/>
    <w:rsid w:val="0EF63B2F"/>
    <w:rsid w:val="0EFC68C3"/>
    <w:rsid w:val="0F12587C"/>
    <w:rsid w:val="0F4175E9"/>
    <w:rsid w:val="0F542633"/>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AC03BA"/>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4E6215"/>
    <w:rsid w:val="13504A4B"/>
    <w:rsid w:val="136E179F"/>
    <w:rsid w:val="13926B0D"/>
    <w:rsid w:val="13A03B44"/>
    <w:rsid w:val="13A04F33"/>
    <w:rsid w:val="13B331CE"/>
    <w:rsid w:val="13B4711A"/>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AA39EE"/>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E24986"/>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5B4E75"/>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E872AF"/>
    <w:rsid w:val="21F335B9"/>
    <w:rsid w:val="221A732A"/>
    <w:rsid w:val="221B7747"/>
    <w:rsid w:val="222354AB"/>
    <w:rsid w:val="222C3982"/>
    <w:rsid w:val="22331923"/>
    <w:rsid w:val="223F6607"/>
    <w:rsid w:val="22564974"/>
    <w:rsid w:val="22640F76"/>
    <w:rsid w:val="227149E6"/>
    <w:rsid w:val="227E533B"/>
    <w:rsid w:val="2285255A"/>
    <w:rsid w:val="22A34AF2"/>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8550BF"/>
    <w:rsid w:val="26926004"/>
    <w:rsid w:val="269F21B4"/>
    <w:rsid w:val="26A7399D"/>
    <w:rsid w:val="26B25502"/>
    <w:rsid w:val="26B54708"/>
    <w:rsid w:val="26D11E03"/>
    <w:rsid w:val="26E6204C"/>
    <w:rsid w:val="26E77613"/>
    <w:rsid w:val="26F334DD"/>
    <w:rsid w:val="2708089C"/>
    <w:rsid w:val="271D796D"/>
    <w:rsid w:val="27237053"/>
    <w:rsid w:val="272805F4"/>
    <w:rsid w:val="272E5A18"/>
    <w:rsid w:val="27592A05"/>
    <w:rsid w:val="27704665"/>
    <w:rsid w:val="277944C1"/>
    <w:rsid w:val="2799307D"/>
    <w:rsid w:val="27A82E1D"/>
    <w:rsid w:val="27CE2E3B"/>
    <w:rsid w:val="27D2090A"/>
    <w:rsid w:val="27F94834"/>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753F4"/>
    <w:rsid w:val="29090B19"/>
    <w:rsid w:val="29197A4E"/>
    <w:rsid w:val="2920414D"/>
    <w:rsid w:val="29256504"/>
    <w:rsid w:val="293B24C3"/>
    <w:rsid w:val="29436061"/>
    <w:rsid w:val="29495AA1"/>
    <w:rsid w:val="296C4F38"/>
    <w:rsid w:val="297F6DC5"/>
    <w:rsid w:val="299847FE"/>
    <w:rsid w:val="299E4C53"/>
    <w:rsid w:val="29A6593E"/>
    <w:rsid w:val="29DB09B9"/>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568ED"/>
    <w:rsid w:val="2AEC5275"/>
    <w:rsid w:val="2B0013A6"/>
    <w:rsid w:val="2B0F3DFB"/>
    <w:rsid w:val="2B17795C"/>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7F7ECE"/>
    <w:rsid w:val="31930775"/>
    <w:rsid w:val="31DB1281"/>
    <w:rsid w:val="31E35756"/>
    <w:rsid w:val="31EA1A4C"/>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3DF25B8"/>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B163D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277B74"/>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62B94"/>
    <w:rsid w:val="3B0B0F7D"/>
    <w:rsid w:val="3B0D6080"/>
    <w:rsid w:val="3B5B2F84"/>
    <w:rsid w:val="3B5E775A"/>
    <w:rsid w:val="3BA73E4B"/>
    <w:rsid w:val="3BBF24F5"/>
    <w:rsid w:val="3BC35012"/>
    <w:rsid w:val="3BC51C79"/>
    <w:rsid w:val="3BCD7D39"/>
    <w:rsid w:val="3BDC0292"/>
    <w:rsid w:val="3BEB34FE"/>
    <w:rsid w:val="3BEC1325"/>
    <w:rsid w:val="3C150CC5"/>
    <w:rsid w:val="3C176E3E"/>
    <w:rsid w:val="3C361791"/>
    <w:rsid w:val="3C3C3974"/>
    <w:rsid w:val="3C4A4AB6"/>
    <w:rsid w:val="3C5A3DB3"/>
    <w:rsid w:val="3C621681"/>
    <w:rsid w:val="3C894FFC"/>
    <w:rsid w:val="3C981449"/>
    <w:rsid w:val="3CB55C19"/>
    <w:rsid w:val="3CCF328C"/>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9F0CF0"/>
    <w:rsid w:val="3FA4574E"/>
    <w:rsid w:val="3FB06496"/>
    <w:rsid w:val="3FB903F1"/>
    <w:rsid w:val="3FBB5D90"/>
    <w:rsid w:val="3FD5526A"/>
    <w:rsid w:val="3FDC7AEC"/>
    <w:rsid w:val="3FF22CF9"/>
    <w:rsid w:val="3FFB268E"/>
    <w:rsid w:val="40015512"/>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AA6CD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61E8C"/>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722108"/>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B90B94"/>
    <w:rsid w:val="52D86C95"/>
    <w:rsid w:val="52D94594"/>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944E9"/>
    <w:rsid w:val="55DA77CA"/>
    <w:rsid w:val="55DE79CD"/>
    <w:rsid w:val="56086F50"/>
    <w:rsid w:val="5609777D"/>
    <w:rsid w:val="56280B38"/>
    <w:rsid w:val="564A0EDF"/>
    <w:rsid w:val="56621C1A"/>
    <w:rsid w:val="568672EA"/>
    <w:rsid w:val="569D640D"/>
    <w:rsid w:val="56B54E8D"/>
    <w:rsid w:val="56D71E1C"/>
    <w:rsid w:val="56D9527E"/>
    <w:rsid w:val="56E515BC"/>
    <w:rsid w:val="5710790D"/>
    <w:rsid w:val="57152BEC"/>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A858A7"/>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E43E82"/>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A35E95"/>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083AF5"/>
    <w:rsid w:val="67686654"/>
    <w:rsid w:val="677C6D8D"/>
    <w:rsid w:val="67942608"/>
    <w:rsid w:val="679E4221"/>
    <w:rsid w:val="67A21BC5"/>
    <w:rsid w:val="67A42436"/>
    <w:rsid w:val="67B31897"/>
    <w:rsid w:val="67B426C9"/>
    <w:rsid w:val="67E453A9"/>
    <w:rsid w:val="682A170E"/>
    <w:rsid w:val="68334B02"/>
    <w:rsid w:val="683A31C4"/>
    <w:rsid w:val="683A320B"/>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5476A"/>
    <w:rsid w:val="6E3622C0"/>
    <w:rsid w:val="6E4C627F"/>
    <w:rsid w:val="6E751798"/>
    <w:rsid w:val="6E810801"/>
    <w:rsid w:val="6EA43553"/>
    <w:rsid w:val="6EA46D2C"/>
    <w:rsid w:val="6EB54F5E"/>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3E2E19"/>
    <w:rsid w:val="74601EEF"/>
    <w:rsid w:val="7463505C"/>
    <w:rsid w:val="746B6140"/>
    <w:rsid w:val="748B68E7"/>
    <w:rsid w:val="748E1A13"/>
    <w:rsid w:val="74972499"/>
    <w:rsid w:val="749A357B"/>
    <w:rsid w:val="749C3E2F"/>
    <w:rsid w:val="74AD3EE2"/>
    <w:rsid w:val="74DA6581"/>
    <w:rsid w:val="74DE448E"/>
    <w:rsid w:val="74FD067F"/>
    <w:rsid w:val="750A5AD6"/>
    <w:rsid w:val="7510342E"/>
    <w:rsid w:val="751034C4"/>
    <w:rsid w:val="75107ECB"/>
    <w:rsid w:val="753E74BE"/>
    <w:rsid w:val="754334E3"/>
    <w:rsid w:val="754400B3"/>
    <w:rsid w:val="756018D0"/>
    <w:rsid w:val="756812FC"/>
    <w:rsid w:val="75686698"/>
    <w:rsid w:val="75B15BA4"/>
    <w:rsid w:val="75CC16A7"/>
    <w:rsid w:val="75D5533F"/>
    <w:rsid w:val="75F47354"/>
    <w:rsid w:val="7611183D"/>
    <w:rsid w:val="76221738"/>
    <w:rsid w:val="76502B51"/>
    <w:rsid w:val="76581835"/>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53B29"/>
    <w:rsid w:val="79BA23AD"/>
    <w:rsid w:val="79E0766B"/>
    <w:rsid w:val="79E24918"/>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6D7232"/>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uiPriority w:val="0"/>
    <w:pPr>
      <w:ind w:firstLine="640"/>
    </w:pPr>
    <w:rPr>
      <w:rFonts w:hint="eastAsia" w:ascii="仿宋_GB2312" w:eastAsia="仿宋_GB2312"/>
      <w:sz w:val="30"/>
      <w:szCs w:val="30"/>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2025-04-09T08:34:00Z</dcterms:created>
  <dc:creator>杨慧祺</dc:creator>
  <cp:lastModifiedBy>宋伊琳</cp:lastModifiedBy>
  <dcterms:modified xsi:type="dcterms:W3CDTF">2025-09-12T03:27:20Z</dcterms:modified>
  <dc:title>非银行支付机构变更业务类型或者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6C9092C467A64986B0441F7531B30A4D</vt:lpwstr>
  </property>
</Properties>
</file>