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wordWrap/>
        <w:adjustRightInd/>
        <w:snapToGrid/>
        <w:spacing w:line="560" w:lineRule="exact"/>
        <w:jc w:val="center"/>
        <w:textAlignment w:val="auto"/>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非银行支付机构跨省、自治区、直辖市变更住所审批</w:t>
      </w:r>
    </w:p>
    <w:p>
      <w:pPr>
        <w:pStyle w:val="3"/>
        <w:spacing w:line="560" w:lineRule="exact"/>
        <w:rPr>
          <w:rFonts w:hint="eastAsia" w:ascii="黑体" w:hAnsi="黑体" w:eastAsia="黑体" w:cs="黑体"/>
          <w:sz w:val="32"/>
          <w:szCs w:val="32"/>
          <w:lang w:val="en-US" w:eastAsia="zh-CN"/>
        </w:rPr>
      </w:pP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非银行支付机构跨省、自治区、直辖市变更住所审批</w:t>
      </w:r>
      <w:r>
        <w:rPr>
          <w:rFonts w:hint="eastAsia" w:ascii="仿宋_GB2312" w:hAnsi="仿宋_GB2312" w:eastAsia="仿宋_GB2312" w:cs="仿宋_GB2312"/>
          <w:strike w:val="0"/>
          <w:dstrike w:val="0"/>
          <w:sz w:val="32"/>
          <w:szCs w:val="32"/>
          <w:lang w:val="en-US" w:eastAsia="zh-CN"/>
        </w:rPr>
        <w:t>。</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lang w:eastAsia="zh-CN"/>
        </w:rPr>
        <w:t>拟变更后住所所在地</w:t>
      </w:r>
      <w:r>
        <w:rPr>
          <w:rFonts w:hint="eastAsia" w:ascii="仿宋_GB2312" w:hAnsi="仿宋_GB2312" w:eastAsia="仿宋_GB2312" w:cs="仿宋_GB2312"/>
          <w:sz w:val="32"/>
          <w:szCs w:val="32"/>
          <w:highlight w:val="none"/>
          <w:lang w:eastAsia="zh-CN"/>
        </w:rPr>
        <w:t>位于</w:t>
      </w:r>
      <w:r>
        <w:rPr>
          <w:rFonts w:hint="eastAsia" w:ascii="仿宋_GB2312" w:hAnsi="仿宋_GB2312" w:eastAsia="仿宋_GB2312" w:cs="仿宋_GB2312"/>
          <w:sz w:val="32"/>
          <w:szCs w:val="32"/>
          <w:highlight w:val="none"/>
          <w:lang w:val="en-US" w:eastAsia="zh-CN"/>
        </w:rPr>
        <w:t>广西壮族自治区</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的非银行支付机构</w:t>
      </w:r>
      <w:r>
        <w:rPr>
          <w:rFonts w:hint="eastAsia" w:ascii="仿宋_GB2312" w:hAnsi="仿宋_GB2312" w:eastAsia="仿宋_GB2312" w:cs="仿宋_GB2312"/>
          <w:strike w:val="0"/>
          <w:dstrike w:val="0"/>
          <w:sz w:val="32"/>
          <w:szCs w:val="32"/>
          <w:lang w:val="en-US"/>
        </w:rPr>
        <w:t>跨省、自治区、直辖市变更住所</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和初审办理。</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前审后批</w:t>
      </w:r>
      <w:r>
        <w:rPr>
          <w:rFonts w:hint="eastAsia" w:ascii="仿宋_GB2312" w:hAnsi="仿宋_GB2312" w:eastAsia="仿宋_GB2312" w:cs="仿宋_GB2312"/>
          <w:color w:val="auto"/>
          <w:sz w:val="32"/>
          <w:szCs w:val="32"/>
          <w:lang w:eastAsia="zh-CN"/>
        </w:rPr>
        <w:t>。</w:t>
      </w:r>
    </w:p>
    <w:p>
      <w:pPr>
        <w:numPr>
          <w:ilvl w:val="0"/>
          <w:numId w:val="1"/>
        </w:numPr>
        <w:wordWrap/>
        <w:adjustRightInd/>
        <w:snapToGrid/>
        <w:spacing w:beforeLines="0" w:afterLines="0" w:line="560" w:lineRule="exact"/>
        <w:ind w:firstLine="0" w:firstLineChars="200"/>
        <w:jc w:val="both"/>
        <w:rPr>
          <w:rFonts w:hint="eastAsia" w:ascii="黑体" w:hAnsi="黑体" w:eastAsia="黑体" w:cs="黑体"/>
          <w:bCs w:val="0"/>
          <w:sz w:val="32"/>
          <w:szCs w:val="32"/>
        </w:rPr>
      </w:pPr>
      <w:r>
        <w:rPr>
          <w:rFonts w:hint="eastAsia" w:ascii="黑体" w:hAnsi="黑体" w:eastAsia="黑体" w:cs="黑体"/>
          <w:bCs/>
          <w:sz w:val="32"/>
          <w:szCs w:val="32"/>
        </w:rPr>
        <w:t>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wordWrap/>
        <w:adjustRightInd/>
        <w:snapToGrid/>
        <w:spacing w:beforeLines="0" w:afterLines="0" w:line="560" w:lineRule="exact"/>
        <w:ind w:firstLine="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wordWrap/>
        <w:adjustRightInd/>
        <w:snapToGrid/>
        <w:spacing w:beforeLines="0" w:afterLines="0" w:line="560" w:lineRule="exact"/>
        <w:ind w:firstLine="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（二）《中华人民共和国行政许可法》</w:t>
      </w:r>
      <w:r>
        <w:rPr>
          <w:rFonts w:hint="eastAsia" w:ascii="仿宋_GB2312" w:hAnsi="仿宋_GB2312" w:eastAsia="仿宋_GB2312" w:cs="仿宋_GB2312"/>
          <w:sz w:val="32"/>
          <w:szCs w:val="32"/>
          <w:lang w:eastAsia="zh-CN"/>
        </w:rPr>
        <w:t>；</w:t>
      </w:r>
    </w:p>
    <w:p>
      <w:pPr>
        <w:wordWrap/>
        <w:adjustRightInd/>
        <w:snapToGrid/>
        <w:spacing w:beforeLines="0" w:afterLines="0" w:line="560" w:lineRule="exact"/>
        <w:ind w:firstLine="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ordWrap/>
        <w:adjustRightInd/>
        <w:snapToGrid/>
        <w:spacing w:beforeLines="0" w:afterLines="0" w:line="560" w:lineRule="exact"/>
        <w:ind w:firstLine="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审核机构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中国人民银行广西壮族自治区分行初审、中国人民银行复审。</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数量限制</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（一）申请人条件</w:t>
      </w:r>
      <w:r>
        <w:rPr>
          <w:rFonts w:hint="eastAsia" w:ascii="楷体_GB2312" w:hAnsi="楷体_GB2312" w:eastAsia="楷体_GB2312" w:cs="楷体_GB2312"/>
          <w:sz w:val="32"/>
          <w:szCs w:val="32"/>
          <w:highlight w:val="none"/>
          <w:lang w:eastAsia="zh-CN"/>
        </w:rPr>
        <w:t>。</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拟变更后的支付业务设施和住所符合《条例》及</w:t>
      </w:r>
      <w:r>
        <w:rPr>
          <w:rFonts w:hint="eastAsia" w:hAnsi="仿宋_GB2312" w:cs="仿宋_GB2312"/>
          <w:kern w:val="2"/>
          <w:sz w:val="32"/>
          <w:szCs w:val="32"/>
          <w:highlight w:val="none"/>
          <w:lang w:val="en-US" w:eastAsia="zh-CN" w:bidi="ar-SA"/>
        </w:rPr>
        <w:t>《实施细则》</w:t>
      </w:r>
      <w:r>
        <w:rPr>
          <w:rFonts w:hint="eastAsia" w:ascii="仿宋_GB2312" w:hAnsi="仿宋_GB2312" w:eastAsia="仿宋_GB2312" w:cs="仿宋_GB2312"/>
          <w:kern w:val="2"/>
          <w:sz w:val="32"/>
          <w:szCs w:val="32"/>
          <w:highlight w:val="none"/>
          <w:lang w:val="en-US" w:eastAsia="zh-CN" w:bidi="ar-SA"/>
        </w:rPr>
        <w:t>有关规定。</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非银行支付机构经核准的经营地域范围覆盖变更后的住所所在地。</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最近3年无重大违法违规记录。</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诚信记录良好。</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备付金管理机制健全有效。</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（二）符合如下条件的，准予</w:t>
      </w:r>
      <w:r>
        <w:rPr>
          <w:rFonts w:hint="eastAsia" w:ascii="楷体_GB2312" w:hAnsi="楷体_GB2312" w:eastAsia="楷体_GB2312" w:cs="楷体_GB2312"/>
          <w:sz w:val="32"/>
          <w:szCs w:val="32"/>
          <w:highlight w:val="none"/>
          <w:lang w:eastAsia="zh-CN"/>
        </w:rPr>
        <w:t>行政许可。</w:t>
      </w:r>
    </w:p>
    <w:p>
      <w:pPr>
        <w:pStyle w:val="6"/>
        <w:adjustRightInd/>
        <w:snapToGrid/>
        <w:spacing w:before="0" w:beforeLines="0" w:after="0" w:afterLines="0" w:line="560" w:lineRule="exact"/>
        <w:ind w:firstLine="0" w:firstLineChars="200"/>
        <w:jc w:val="both"/>
        <w:rPr>
          <w:rFonts w:hAnsi="仿宋_GB2312" w:cs="仿宋_GB2312"/>
          <w:sz w:val="32"/>
          <w:szCs w:val="32"/>
          <w:highlight w:val="none"/>
        </w:rPr>
      </w:pPr>
      <w:r>
        <w:rPr>
          <w:rFonts w:hAnsi="仿宋_GB2312" w:cs="仿宋_GB2312"/>
          <w:sz w:val="32"/>
          <w:szCs w:val="32"/>
          <w:highlight w:val="none"/>
        </w:rPr>
        <w:t>申请人满足《条例》《实施细则》相关规定，</w:t>
      </w:r>
      <w:r>
        <w:rPr>
          <w:rFonts w:hint="eastAsia" w:ascii="仿宋_GB2312" w:eastAsia="仿宋_GB2312" w:cs="仿宋_GB2312"/>
          <w:color w:val="auto"/>
          <w:sz w:val="32"/>
          <w:szCs w:val="32"/>
          <w:highlight w:val="none"/>
        </w:rPr>
        <w:t>提交的申请材料齐全、符合法定形式。</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（三）有如下情形的，不予</w:t>
      </w:r>
      <w:r>
        <w:rPr>
          <w:rFonts w:hint="eastAsia" w:ascii="楷体_GB2312" w:hAnsi="楷体_GB2312" w:eastAsia="楷体_GB2312" w:cs="楷体_GB2312"/>
          <w:sz w:val="32"/>
          <w:szCs w:val="32"/>
          <w:highlight w:val="none"/>
          <w:lang w:eastAsia="zh-CN"/>
        </w:rPr>
        <w:t>行政许可。</w:t>
      </w:r>
    </w:p>
    <w:p>
      <w:pPr>
        <w:pStyle w:val="6"/>
        <w:adjustRightInd/>
        <w:snapToGrid/>
        <w:spacing w:before="0" w:beforeLines="0" w:after="0" w:afterLines="0" w:line="560" w:lineRule="exact"/>
        <w:ind w:firstLine="0" w:firstLineChars="200"/>
        <w:jc w:val="both"/>
        <w:rPr>
          <w:rFonts w:hAnsi="仿宋_GB2312" w:cs="仿宋_GB2312"/>
          <w:sz w:val="32"/>
          <w:szCs w:val="32"/>
          <w:highlight w:val="none"/>
        </w:rPr>
      </w:pPr>
      <w:r>
        <w:rPr>
          <w:rFonts w:hAnsi="仿宋_GB2312" w:cs="仿宋_GB2312"/>
          <w:sz w:val="32"/>
          <w:szCs w:val="32"/>
          <w:highlight w:val="none"/>
        </w:rPr>
        <w:t>申请人</w:t>
      </w:r>
      <w:r>
        <w:rPr>
          <w:rFonts w:hint="eastAsia" w:hAnsi="仿宋_GB2312" w:cs="仿宋_GB2312"/>
          <w:sz w:val="32"/>
          <w:szCs w:val="32"/>
          <w:highlight w:val="none"/>
          <w:lang w:eastAsia="zh-CN"/>
        </w:rPr>
        <w:t>不</w:t>
      </w:r>
      <w:r>
        <w:rPr>
          <w:rFonts w:hAnsi="仿宋_GB2312" w:cs="仿宋_GB2312"/>
          <w:sz w:val="32"/>
          <w:szCs w:val="32"/>
          <w:highlight w:val="none"/>
        </w:rPr>
        <w:t>满足《条例》《实施细则》相关规定，变更事项</w:t>
      </w:r>
      <w:r>
        <w:rPr>
          <w:rFonts w:hint="eastAsia" w:hAnsi="仿宋_GB2312" w:cs="仿宋_GB2312"/>
          <w:sz w:val="32"/>
          <w:szCs w:val="32"/>
          <w:highlight w:val="none"/>
          <w:lang w:eastAsia="zh-CN"/>
        </w:rPr>
        <w:t>不</w:t>
      </w:r>
      <w:r>
        <w:rPr>
          <w:rFonts w:hAnsi="仿宋_GB2312" w:cs="仿宋_GB2312"/>
          <w:sz w:val="32"/>
          <w:szCs w:val="32"/>
          <w:highlight w:val="none"/>
        </w:rPr>
        <w:t>符合法定条件、标准。</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（一）书面申请，载明申请人基本情况、主要股东和实际控制人情况、变更原因、变更方案等。</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（二）申请人相关材料，包括：</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1.营业执照（副本）复印件和支付业务许可证复印件。</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3.诚信记录良好材料，含企业征信报告，以及其他能够说明诚信记录良好的相关材料。</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4.备付金安全承诺。</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5.公司合规经营情况说明，含最近3年经营情况、被投诉举报情况、受到行政处罚或者被采取监管措施情况，以及上述相关问题的整改情况。</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（三）股东会或者其他有权决定机构同意申请人拟变更的决议文件。</w:t>
      </w:r>
    </w:p>
    <w:p>
      <w:p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（四）拟变更后的支付业务设施和住所合规情况材料</w:t>
      </w:r>
      <w:r>
        <w:rPr>
          <w:rFonts w:hint="eastAsia"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color w:val="auto"/>
          <w:sz w:val="32"/>
          <w:szCs w:val="32"/>
        </w:rPr>
        <w:t>支付业务设施材料</w:t>
      </w:r>
      <w:r>
        <w:rPr>
          <w:rFonts w:hint="eastAsia" w:ascii="仿宋_GB2312" w:hAnsi="仿宋_GB2312" w:eastAsia="仿宋_GB2312" w:cs="仿宋_GB2312"/>
          <w:b w:val="0"/>
          <w:bCs w:val="0"/>
          <w:strike w:val="0"/>
          <w:dstrike w:val="0"/>
          <w:color w:val="auto"/>
          <w:sz w:val="32"/>
          <w:szCs w:val="32"/>
          <w:lang w:val="en-US" w:eastAsia="zh-CN"/>
        </w:rPr>
        <w:t>包括：</w:t>
      </w:r>
    </w:p>
    <w:p>
      <w:p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支付业务设施机房部署情况。非银行支付机构生产中心机房原则上应当与非银行支付机构主要经营场所所在地位于同一省、自治区、直辖市。</w:t>
      </w:r>
    </w:p>
    <w:p>
      <w:p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支付业务设施符合中国人民银行规定的业务规范、技术标准和安全要求说明材料。</w:t>
      </w:r>
    </w:p>
    <w:p>
      <w:pPr>
        <w:wordWrap/>
        <w:adjustRightInd/>
        <w:snapToGrid/>
        <w:spacing w:beforeLines="0" w:afterLines="0" w:line="560" w:lineRule="exact"/>
        <w:ind w:firstLine="0" w:firstLineChars="200"/>
        <w:jc w:val="both"/>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rPr>
        <w:t>住所合规情况材料</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rPr>
        <w:t>住所所有权或者使用权的说明材料，以及经营场所安全的相关材料。</w:t>
      </w:r>
    </w:p>
    <w:p>
      <w:p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（五）申请材料真实性声明。</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pStyle w:val="3"/>
        <w:adjustRightInd/>
        <w:snapToGrid/>
        <w:spacing w:beforeLines="0" w:after="0" w:line="560" w:lineRule="exact"/>
        <w:ind w:firstLine="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（一）接收申请材料</w:t>
      </w:r>
      <w:r>
        <w:rPr>
          <w:rFonts w:hint="eastAsia" w:ascii="楷体_GB2312" w:hAnsi="楷体_GB2312" w:eastAsia="楷体_GB2312" w:cs="楷体_GB2312"/>
          <w:color w:val="auto"/>
          <w:sz w:val="32"/>
          <w:szCs w:val="32"/>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接收申请人提交的申请材料，并清点材料数量。</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2.清点无误的，中国人民银行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向申请人出具材料接收凭证。</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（二）出具受理意见</w:t>
      </w:r>
      <w:r>
        <w:rPr>
          <w:rFonts w:hint="eastAsia" w:ascii="楷体_GB2312" w:hAnsi="楷体_GB2312" w:eastAsia="楷体_GB2312" w:cs="楷体_GB2312"/>
          <w:color w:val="auto"/>
          <w:sz w:val="32"/>
          <w:szCs w:val="32"/>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对申请材料进行初步审核，视以下不同情况出具受理意见：</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对于申请材料不齐全或者不符合法定形式或者存在错误不能当场更正的，中国人民银行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退回已经收到的全部申请材料</w:t>
      </w:r>
      <w:r>
        <w:rPr>
          <w:rFonts w:hint="eastAsia" w:ascii="仿宋_GB2312" w:hAnsi="仿宋_GB2312" w:eastAsia="仿宋_GB2312" w:cs="仿宋_GB2312"/>
          <w:color w:val="auto"/>
          <w:sz w:val="32"/>
          <w:szCs w:val="32"/>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对于申请人</w:t>
      </w:r>
      <w:r>
        <w:rPr>
          <w:rFonts w:hint="eastAsia" w:ascii="仿宋_GB2312" w:hAnsi="仿宋_GB2312" w:eastAsia="仿宋_GB2312" w:cs="仿宋_GB2312"/>
          <w:color w:val="auto"/>
          <w:sz w:val="32"/>
          <w:szCs w:val="32"/>
          <w:u w:val="none"/>
          <w:lang w:eastAsia="zh-CN"/>
        </w:rPr>
        <w:t>申请事项不属于中国人民银行职权范围、</w:t>
      </w:r>
      <w:r>
        <w:rPr>
          <w:rFonts w:hint="eastAsia" w:ascii="仿宋_GB2312" w:hAnsi="仿宋_GB2312" w:eastAsia="仿宋_GB2312" w:cs="仿宋_GB2312"/>
          <w:color w:val="auto"/>
          <w:sz w:val="32"/>
          <w:szCs w:val="32"/>
          <w:lang w:eastAsia="zh-CN"/>
        </w:rPr>
        <w:t>提供的补正材料不齐全、不符合法定形式，补正后仍存在不符合受理条件的其他情形，中国人民银行广西壮族自治区分行不予受理，并出具加盖本行行政许可专用章的不予受理决定书，说明不予受理的理由和依据，退回已经收到的全部申请材料。</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中国人民银行广西壮族自治区分行于收到申请材料或者全部补正申请材料之日起5个工作日内，出具加盖本行行政许可专用章并注明受理日期的行政许可受理通知书。</w:t>
      </w:r>
    </w:p>
    <w:p>
      <w:pPr>
        <w:adjustRightInd/>
        <w:snapToGrid/>
        <w:spacing w:beforeLines="0" w:afterLines="0" w:line="560" w:lineRule="exact"/>
        <w:ind w:firstLine="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w:t>
      </w:r>
      <w:r>
        <w:rPr>
          <w:rFonts w:hint="eastAsia" w:ascii="仿宋_GB2312" w:hAnsi="仿宋_GB2312" w:eastAsia="仿宋_GB2312" w:cs="仿宋_GB2312"/>
          <w:color w:val="auto"/>
          <w:sz w:val="32"/>
          <w:szCs w:val="32"/>
          <w:lang w:eastAsia="zh-CN"/>
        </w:rPr>
        <w:t>除即时告知的外，</w:t>
      </w:r>
      <w:r>
        <w:rPr>
          <w:rFonts w:hint="eastAsia" w:ascii="仿宋_GB2312" w:hAnsi="仿宋_GB2312" w:eastAsia="仿宋_GB2312" w:cs="仿宋_GB2312"/>
          <w:sz w:val="32"/>
          <w:szCs w:val="32"/>
          <w:lang w:eastAsia="zh-CN"/>
        </w:rPr>
        <w:t>中国人民银行广西壮族自治区分行</w:t>
      </w:r>
      <w:r>
        <w:rPr>
          <w:rFonts w:hint="eastAsia" w:ascii="仿宋_GB2312" w:hAnsi="仿宋_GB2312" w:eastAsia="仿宋_GB2312" w:cs="仿宋_GB2312"/>
          <w:sz w:val="32"/>
          <w:szCs w:val="32"/>
        </w:rPr>
        <w:t>自相关文书作出之日起5个工作日内送达当事人。</w:t>
      </w:r>
    </w:p>
    <w:p>
      <w:pPr>
        <w:adjustRightInd/>
        <w:snapToGrid/>
        <w:spacing w:beforeLines="0" w:afterLines="0" w:line="560" w:lineRule="exact"/>
        <w:ind w:firstLine="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中国人民银行</w:t>
      </w:r>
      <w:r>
        <w:rPr>
          <w:rFonts w:hint="eastAsia" w:ascii="楷体_GB2312" w:hAnsi="楷体_GB2312" w:eastAsia="楷体_GB2312" w:cs="楷体_GB2312"/>
          <w:color w:val="auto"/>
          <w:sz w:val="32"/>
          <w:szCs w:val="32"/>
          <w:lang w:eastAsia="zh-CN"/>
        </w:rPr>
        <w:t>广西壮族自治区分行初审。</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中国人民银行广西壮族自治区分行自受理申请之日对申请材料进行初步审查，同时向原住所所在地中国人民银行的分支机构征求意见，结合材料审核和征求意见情况将</w:t>
      </w:r>
      <w:r>
        <w:rPr>
          <w:rFonts w:hint="eastAsia" w:ascii="仿宋_GB2312" w:hAnsi="仿宋_GB2312" w:eastAsia="仿宋_GB2312" w:cs="仿宋_GB2312"/>
          <w:color w:val="auto"/>
          <w:sz w:val="32"/>
          <w:szCs w:val="32"/>
          <w:lang w:val="en-US" w:eastAsia="zh-CN"/>
        </w:rPr>
        <w:t>变更</w:t>
      </w:r>
      <w:r>
        <w:rPr>
          <w:rFonts w:hint="eastAsia" w:ascii="仿宋_GB2312" w:hAnsi="仿宋_GB2312" w:eastAsia="仿宋_GB2312" w:cs="仿宋_GB2312"/>
          <w:color w:val="auto"/>
          <w:sz w:val="32"/>
          <w:szCs w:val="32"/>
          <w:lang w:val="en-US" w:eastAsia="zh-CN"/>
        </w:rPr>
        <w:t>申请材料</w:t>
      </w:r>
      <w:r>
        <w:rPr>
          <w:rFonts w:hint="eastAsia" w:ascii="仿宋_GB2312" w:hAnsi="仿宋_GB2312" w:eastAsia="仿宋_GB2312" w:cs="仿宋_GB2312"/>
          <w:color w:val="auto"/>
          <w:sz w:val="32"/>
          <w:szCs w:val="32"/>
          <w:highlight w:val="none"/>
          <w:lang w:val="en-US" w:eastAsia="zh-CN"/>
        </w:rPr>
        <w:t>、行政许可受理通知书</w:t>
      </w:r>
      <w:r>
        <w:rPr>
          <w:rFonts w:hint="eastAsia" w:ascii="仿宋_GB2312" w:hAnsi="仿宋_GB2312" w:eastAsia="仿宋_GB2312" w:cs="仿宋_GB2312"/>
          <w:sz w:val="32"/>
          <w:szCs w:val="32"/>
        </w:rPr>
        <w:t>和</w:t>
      </w:r>
      <w:r>
        <w:rPr>
          <w:rFonts w:hint="eastAsia" w:ascii="仿宋_GB2312" w:hAnsi="仿宋_GB2312" w:eastAsia="仿宋_GB2312" w:cs="仿宋_GB2312"/>
          <w:color w:val="auto"/>
          <w:sz w:val="32"/>
          <w:szCs w:val="32"/>
          <w:lang w:val="en-US" w:eastAsia="zh-CN"/>
        </w:rPr>
        <w:t>初步审查意见报中国人民银行。</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人民银行广西壮族自治区分行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办理时限</w:t>
      </w:r>
    </w:p>
    <w:p>
      <w:p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中国人民银行自</w:t>
      </w:r>
      <w:r>
        <w:rPr>
          <w:rFonts w:hint="eastAsia" w:ascii="仿宋_GB2312" w:hAnsi="仿宋_GB2312" w:eastAsia="仿宋_GB2312" w:cs="仿宋_GB2312"/>
          <w:color w:val="auto"/>
          <w:sz w:val="32"/>
          <w:szCs w:val="32"/>
          <w:lang w:val="en-US" w:eastAsia="zh-CN"/>
        </w:rPr>
        <w:t>中国人民银行广西壮族自治区分行</w:t>
      </w:r>
      <w:r>
        <w:rPr>
          <w:rFonts w:hint="eastAsia" w:ascii="仿宋_GB2312" w:hAnsi="仿宋_GB2312" w:eastAsia="仿宋_GB2312" w:cs="仿宋_GB2312"/>
          <w:color w:val="auto"/>
          <w:sz w:val="32"/>
          <w:szCs w:val="32"/>
          <w:lang w:val="en-US" w:eastAsia="zh-CN"/>
        </w:rPr>
        <w:t>受理申请之日起3个月内作出批准或者不予批准的决定。其中，《中国人民银行行政许可实施办法》（中国人民银行令〔2020〕第1号发布）第三十三条规定的相关程序不计入时限。</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审批结果和送达</w:t>
      </w:r>
    </w:p>
    <w:p>
      <w:p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国人民银行根据审批结果作出行政许可决定，准予许可的，出具准予行政许可决定书并予以公告；不予许可的，出具不予行政许可决定书。中国人民银行广西壮族自治区分行根据行政许可决定将准予行政许可决定书或不予行政许可决定书送达申请人。</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numPr>
          <w:ilvl w:val="0"/>
          <w:numId w:val="1"/>
        </w:numPr>
        <w:adjustRightInd/>
        <w:snapToGrid/>
        <w:spacing w:beforeLines="0" w:afterLines="0" w:line="560" w:lineRule="exact"/>
        <w:ind w:firstLine="0" w:firstLineChars="200"/>
        <w:jc w:val="both"/>
        <w:rPr>
          <w:rFonts w:hint="eastAsia" w:ascii="黑体" w:hAnsi="黑体" w:eastAsia="黑体"/>
          <w:sz w:val="32"/>
          <w:szCs w:val="32"/>
          <w:highlight w:val="none"/>
        </w:rPr>
      </w:pPr>
      <w:r>
        <w:rPr>
          <w:rFonts w:hint="eastAsia" w:ascii="黑体" w:hAnsi="黑体" w:eastAsia="黑体" w:cs="黑体"/>
          <w:color w:val="auto"/>
          <w:sz w:val="32"/>
          <w:szCs w:val="32"/>
          <w:highlight w:val="none"/>
        </w:rPr>
        <w:t>行政相对人权利和义务</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1.依法取得行政许可的平等权利。</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2.依法申请行政复议和行政诉讼的权利。</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2.配合人民银行工作人员做好材料签收交接手续；</w:t>
      </w:r>
    </w:p>
    <w:p>
      <w:pPr>
        <w:pStyle w:val="7"/>
        <w:widowControl w:val="0"/>
        <w:pBdr>
          <w:top w:val="none" w:color="auto" w:sz="0" w:space="0"/>
          <w:left w:val="none" w:color="auto" w:sz="0" w:space="0"/>
          <w:bottom w:val="none" w:color="auto" w:sz="0" w:space="0"/>
          <w:right w:val="none" w:color="auto" w:sz="0" w:space="0"/>
          <w:between w:val="none" w:color="auto" w:sz="0" w:space="0"/>
        </w:pBdr>
        <w:adjustRightInd/>
        <w:snapToGrid/>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sz w:val="32"/>
          <w:szCs w:val="32"/>
        </w:rPr>
        <w:t>咨询</w:t>
      </w:r>
      <w:r>
        <w:rPr>
          <w:rFonts w:hint="eastAsia" w:ascii="黑体" w:hAnsi="黑体" w:eastAsia="黑体" w:cs="黑体"/>
          <w:sz w:val="32"/>
          <w:szCs w:val="32"/>
          <w:highlight w:val="none"/>
          <w:lang w:val="en-US" w:eastAsia="zh-CN"/>
        </w:rPr>
        <w:t>途径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支付结算部门，联系电话：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771-6111430</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南宁市青秀区滨湖路</w:t>
      </w:r>
      <w:r>
        <w:rPr>
          <w:rFonts w:hint="eastAsia" w:ascii="仿宋_GB2312" w:hAnsi="仿宋_GB2312" w:eastAsia="仿宋_GB2312" w:cs="仿宋_GB2312"/>
          <w:sz w:val="32"/>
          <w:szCs w:val="32"/>
          <w:lang w:val="en-US" w:eastAsia="zh-CN"/>
        </w:rPr>
        <w:t>58号</w:t>
      </w:r>
      <w:r>
        <w:rPr>
          <w:rFonts w:hint="eastAsia" w:ascii="仿宋_GB2312" w:hAnsi="仿宋_GB2312" w:eastAsia="仿宋_GB2312" w:cs="仿宋_GB2312"/>
          <w:sz w:val="32"/>
          <w:szCs w:val="32"/>
          <w:lang w:eastAsia="zh-CN"/>
        </w:rPr>
        <w:t>。</w:t>
      </w:r>
    </w:p>
    <w:p>
      <w:pPr>
        <w:wordWrap/>
        <w:adjustRightInd/>
        <w:snapToGrid/>
        <w:spacing w:beforeLines="0" w:afterLines="0" w:line="560" w:lineRule="exact"/>
        <w:ind w:firstLine="0" w:firstLineChars="200"/>
        <w:jc w:val="both"/>
        <w:textAlignment w:val="auto"/>
        <w:rPr>
          <w:sz w:val="32"/>
          <w:szCs w:val="32"/>
        </w:rPr>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pPr>
        <w:adjustRightInd/>
        <w:snapToGrid/>
        <w:spacing w:beforeLines="0" w:afterLines="0" w:line="560" w:lineRule="exact"/>
        <w:ind w:firstLine="0" w:firstLineChars="200"/>
        <w:jc w:val="both"/>
      </w:pPr>
    </w:p>
    <w:p>
      <w:pPr>
        <w:adjustRightInd/>
        <w:snapToGrid/>
        <w:spacing w:beforeLines="0" w:afterLines="0" w:line="560" w:lineRule="exact"/>
        <w:ind w:firstLine="0" w:firstLineChars="200"/>
        <w:jc w:val="both"/>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6075246">
    <w:nsid w:val="37CB5FEE"/>
    <w:multiLevelType w:val="singleLevel"/>
    <w:tmpl w:val="37CB5FEE"/>
    <w:lvl w:ilvl="0" w:tentative="1">
      <w:start w:val="1"/>
      <w:numFmt w:val="chineseCounting"/>
      <w:suff w:val="nothing"/>
      <w:lvlText w:val="%1、"/>
      <w:lvlJc w:val="left"/>
      <w:rPr>
        <w:rFonts w:hint="eastAsia"/>
      </w:rPr>
    </w:lvl>
  </w:abstractNum>
  <w:num w:numId="1">
    <w:abstractNumId w:val="936075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1E81C7B"/>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43208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5F4EAE"/>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5F73ED5"/>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C379E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81C7B"/>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3FC05EC"/>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878D5"/>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8B676A"/>
    <w:rsid w:val="239A1BEB"/>
    <w:rsid w:val="239C0583"/>
    <w:rsid w:val="23CE58D2"/>
    <w:rsid w:val="23D32D38"/>
    <w:rsid w:val="23EF2A48"/>
    <w:rsid w:val="23F407B8"/>
    <w:rsid w:val="23F80909"/>
    <w:rsid w:val="2441530E"/>
    <w:rsid w:val="244539E4"/>
    <w:rsid w:val="24564985"/>
    <w:rsid w:val="24897D22"/>
    <w:rsid w:val="248E14E2"/>
    <w:rsid w:val="24955AC9"/>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40311"/>
    <w:rsid w:val="284511C5"/>
    <w:rsid w:val="284A24F5"/>
    <w:rsid w:val="284D5A91"/>
    <w:rsid w:val="286C2E40"/>
    <w:rsid w:val="286E7EFE"/>
    <w:rsid w:val="2882451F"/>
    <w:rsid w:val="28990FFB"/>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8170E3"/>
    <w:rsid w:val="2A9318FA"/>
    <w:rsid w:val="2A9653B4"/>
    <w:rsid w:val="2AAE3572"/>
    <w:rsid w:val="2AB97222"/>
    <w:rsid w:val="2ACF11F1"/>
    <w:rsid w:val="2AE25148"/>
    <w:rsid w:val="2AEC5275"/>
    <w:rsid w:val="2B0013A6"/>
    <w:rsid w:val="2B0F3DFB"/>
    <w:rsid w:val="2B17795C"/>
    <w:rsid w:val="2B191AE4"/>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3D4C26"/>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1660B2"/>
    <w:rsid w:val="312605C4"/>
    <w:rsid w:val="315A1559"/>
    <w:rsid w:val="315D6252"/>
    <w:rsid w:val="315F1473"/>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EC60AD"/>
    <w:rsid w:val="35F51FAF"/>
    <w:rsid w:val="361961C7"/>
    <w:rsid w:val="36314A46"/>
    <w:rsid w:val="36403A38"/>
    <w:rsid w:val="365246A1"/>
    <w:rsid w:val="365C0392"/>
    <w:rsid w:val="366143D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1B2786"/>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50558"/>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31E9C"/>
    <w:rsid w:val="4005696B"/>
    <w:rsid w:val="402604FB"/>
    <w:rsid w:val="40266C27"/>
    <w:rsid w:val="404C7F5E"/>
    <w:rsid w:val="405B1AEC"/>
    <w:rsid w:val="405D45A6"/>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6752D0"/>
    <w:rsid w:val="427C2BED"/>
    <w:rsid w:val="42822646"/>
    <w:rsid w:val="42832850"/>
    <w:rsid w:val="428F1CD7"/>
    <w:rsid w:val="42AF26A3"/>
    <w:rsid w:val="42D2345A"/>
    <w:rsid w:val="42DE2DBB"/>
    <w:rsid w:val="42EE6C17"/>
    <w:rsid w:val="4313550E"/>
    <w:rsid w:val="43203D52"/>
    <w:rsid w:val="434529B6"/>
    <w:rsid w:val="436E7F78"/>
    <w:rsid w:val="43775ABD"/>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634E6E"/>
    <w:rsid w:val="48CC6F9A"/>
    <w:rsid w:val="48ED487C"/>
    <w:rsid w:val="48F6128A"/>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95401"/>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737C3"/>
    <w:rsid w:val="54B900E8"/>
    <w:rsid w:val="54C37A60"/>
    <w:rsid w:val="54D321BD"/>
    <w:rsid w:val="54D837C7"/>
    <w:rsid w:val="54D93F0E"/>
    <w:rsid w:val="54DB1A60"/>
    <w:rsid w:val="54DB1C64"/>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74010C"/>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0F70A7"/>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6C5F7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4D11F1"/>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766A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7365F"/>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EE0458D"/>
    <w:rsid w:val="7F0236EF"/>
    <w:rsid w:val="7F0F4D4B"/>
    <w:rsid w:val="7F202782"/>
    <w:rsid w:val="7F2D3FC8"/>
    <w:rsid w:val="7F2F09B1"/>
    <w:rsid w:val="7F567090"/>
    <w:rsid w:val="7F5E5C21"/>
    <w:rsid w:val="7F675B10"/>
    <w:rsid w:val="7F6F603C"/>
    <w:rsid w:val="7F7F7AB9"/>
    <w:rsid w:val="7FA20F48"/>
    <w:rsid w:val="7FA509C3"/>
    <w:rsid w:val="7FC47EC7"/>
    <w:rsid w:val="7FDE1EB2"/>
    <w:rsid w:val="7FF64246"/>
    <w:rsid w:val="7FFA5B0E"/>
    <w:rsid w:val="7FFA6280"/>
    <w:rsid w:val="7FFC0522"/>
    <w:rsid w:val="7FFD79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2">
    <w:name w:val="annotation text"/>
    <w:basedOn w:val="1"/>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Indent 3"/>
    <w:basedOn w:val="1"/>
    <w:uiPriority w:val="0"/>
    <w:pPr>
      <w:ind w:firstLine="640"/>
    </w:pPr>
    <w:rPr>
      <w:rFonts w:hint="eastAsia" w:ascii="仿宋_GB2312" w:eastAsia="仿宋_GB2312"/>
      <w:sz w:val="30"/>
      <w:szCs w:val="30"/>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2025-04-10T07:45:00Z</dcterms:created>
  <dc:creator>杨慧祺</dc:creator>
  <cp:lastModifiedBy>宋伊琳</cp:lastModifiedBy>
  <dcterms:modified xsi:type="dcterms:W3CDTF">2025-09-12T03:27:08Z</dcterms:modified>
  <dc:title>非银行支付机构跨省、自治区、直辖市变更住所审批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FA4341BDAF974869919947A198BA7421</vt:lpwstr>
  </property>
</Properties>
</file>