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非银行支付机构合并或者分立审批</w:t>
      </w:r>
    </w:p>
    <w:p>
      <w:pPr>
        <w:numPr>
          <w:numId w:val="0"/>
        </w:numPr>
        <w:wordWrap/>
        <w:adjustRightInd/>
        <w:snapToGrid/>
        <w:spacing w:line="560" w:lineRule="exact"/>
        <w:textAlignment w:val="auto"/>
        <w:rPr>
          <w:rFonts w:hint="eastAsia" w:ascii="黑体" w:hAnsi="黑体" w:eastAsia="黑体" w:cs="黑体"/>
          <w:color w:val="auto"/>
          <w:sz w:val="32"/>
          <w:szCs w:val="32"/>
          <w:highlight w:val="none"/>
          <w:lang w:val="en-US" w:eastAsia="zh-CN"/>
        </w:rPr>
      </w:pP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行政许可事项</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val="en-US"/>
        </w:rPr>
        <w:t>非银行支付机构合并或者分立审批</w:t>
      </w:r>
      <w:r>
        <w:rPr>
          <w:rFonts w:hint="eastAsia" w:ascii="仿宋_GB2312" w:hAnsi="仿宋_GB2312" w:eastAsia="仿宋_GB2312" w:cs="仿宋_GB2312"/>
          <w:strike w:val="0"/>
          <w:dstrike w:val="0"/>
          <w:color w:val="auto"/>
          <w:sz w:val="32"/>
          <w:szCs w:val="32"/>
          <w:highlight w:val="none"/>
          <w:lang w:val="en-US"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适用范围</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本指南</w:t>
      </w:r>
      <w:r>
        <w:rPr>
          <w:rFonts w:hint="eastAsia" w:ascii="仿宋_GB2312" w:hAnsi="仿宋_GB2312" w:eastAsia="仿宋_GB2312" w:cs="仿宋_GB2312"/>
          <w:color w:val="auto"/>
          <w:sz w:val="32"/>
          <w:szCs w:val="32"/>
          <w:highlight w:val="none"/>
        </w:rPr>
        <w:t>适用于拟合并主体</w:t>
      </w:r>
      <w:r>
        <w:rPr>
          <w:rFonts w:hint="eastAsia" w:ascii="仿宋_GB2312" w:hAnsi="仿宋_GB2312" w:eastAsia="仿宋_GB2312" w:cs="仿宋_GB2312"/>
          <w:color w:val="auto"/>
          <w:sz w:val="32"/>
          <w:szCs w:val="32"/>
          <w:highlight w:val="none"/>
          <w:lang w:eastAsia="zh-CN"/>
        </w:rPr>
        <w:t>住所所在地位于广西壮族自治区</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的合并</w:t>
      </w:r>
      <w:r>
        <w:rPr>
          <w:rFonts w:hint="eastAsia" w:ascii="仿宋_GB2312" w:hAnsi="仿宋_GB2312" w:eastAsia="仿宋_GB2312" w:cs="仿宋_GB2312"/>
          <w:color w:val="auto"/>
          <w:sz w:val="32"/>
          <w:szCs w:val="32"/>
          <w:highlight w:val="none"/>
        </w:rPr>
        <w:t>申请受理</w:t>
      </w:r>
      <w:r>
        <w:rPr>
          <w:rFonts w:hint="eastAsia" w:ascii="仿宋_GB2312" w:hAnsi="仿宋_GB2312" w:eastAsia="仿宋_GB2312" w:cs="仿宋_GB2312"/>
          <w:color w:val="auto"/>
          <w:sz w:val="32"/>
          <w:szCs w:val="32"/>
          <w:highlight w:val="none"/>
          <w:lang w:eastAsia="zh-CN"/>
        </w:rPr>
        <w:t>和初审办理，以及拟持证主体住所所在地位于广西壮族自治区</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的分立</w:t>
      </w:r>
      <w:r>
        <w:rPr>
          <w:rFonts w:hint="eastAsia" w:ascii="仿宋_GB2312" w:hAnsi="仿宋_GB2312" w:eastAsia="仿宋_GB2312" w:cs="仿宋_GB2312"/>
          <w:color w:val="auto"/>
          <w:sz w:val="32"/>
          <w:szCs w:val="32"/>
          <w:highlight w:val="none"/>
        </w:rPr>
        <w:t>申请受理</w:t>
      </w:r>
      <w:r>
        <w:rPr>
          <w:rFonts w:hint="eastAsia" w:ascii="仿宋_GB2312" w:hAnsi="仿宋_GB2312" w:eastAsia="仿宋_GB2312" w:cs="仿宋_GB2312"/>
          <w:color w:val="auto"/>
          <w:sz w:val="32"/>
          <w:szCs w:val="32"/>
          <w:highlight w:val="none"/>
          <w:lang w:eastAsia="zh-CN"/>
        </w:rPr>
        <w:t>和初审办理。</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审查类型</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前审后批</w:t>
      </w:r>
      <w:r>
        <w:rPr>
          <w:rFonts w:hint="eastAsia" w:ascii="仿宋_GB2312" w:hAnsi="仿宋_GB2312" w:eastAsia="仿宋_GB2312" w:cs="仿宋_GB2312"/>
          <w:color w:val="auto"/>
          <w:sz w:val="32"/>
          <w:szCs w:val="32"/>
          <w:highlight w:val="none"/>
          <w:lang w:eastAsia="zh-CN"/>
        </w:rPr>
        <w:t>。</w:t>
      </w:r>
    </w:p>
    <w:p>
      <w:pPr>
        <w:numPr>
          <w:ilvl w:val="0"/>
          <w:numId w:val="1"/>
        </w:numPr>
        <w:wordWrap/>
        <w:spacing w:beforeLines="0" w:afterLines="0" w:line="560" w:lineRule="exact"/>
        <w:ind w:firstLine="0" w:firstLineChars="200"/>
        <w:rPr>
          <w:rFonts w:hint="eastAsia" w:ascii="黑体" w:hAnsi="黑体" w:eastAsia="黑体" w:cs="黑体"/>
          <w:bCs w:val="0"/>
          <w:color w:val="auto"/>
          <w:sz w:val="32"/>
          <w:szCs w:val="32"/>
        </w:rPr>
      </w:pPr>
      <w:r>
        <w:rPr>
          <w:rFonts w:hint="eastAsia" w:ascii="黑体" w:hAnsi="黑体" w:eastAsia="黑体" w:cs="黑体"/>
          <w:bCs/>
          <w:color w:val="auto"/>
          <w:sz w:val="32"/>
          <w:szCs w:val="32"/>
        </w:rPr>
        <w:t>设定</w:t>
      </w:r>
      <w:r>
        <w:rPr>
          <w:rFonts w:hint="eastAsia" w:ascii="黑体" w:hAnsi="黑体" w:eastAsia="黑体" w:cs="黑体"/>
          <w:bCs/>
          <w:color w:val="auto"/>
          <w:sz w:val="32"/>
          <w:szCs w:val="32"/>
          <w:lang w:eastAsia="zh-CN"/>
        </w:rPr>
        <w:t>、实施及监管</w:t>
      </w:r>
      <w:r>
        <w:rPr>
          <w:rFonts w:hint="eastAsia" w:ascii="黑体" w:hAnsi="黑体" w:eastAsia="黑体" w:cs="黑体"/>
          <w:bCs/>
          <w:color w:val="auto"/>
          <w:sz w:val="32"/>
          <w:szCs w:val="32"/>
        </w:rPr>
        <w:t>依据</w:t>
      </w:r>
    </w:p>
    <w:p>
      <w:pPr>
        <w:wordWrap/>
        <w:spacing w:beforeLines="0" w:afterLines="0" w:line="560" w:lineRule="exact"/>
        <w:ind w:firstLine="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《中华人民共和国中国人民银行法》</w:t>
      </w:r>
      <w:r>
        <w:rPr>
          <w:rFonts w:hint="eastAsia" w:ascii="仿宋_GB2312" w:hAnsi="仿宋_GB2312" w:eastAsia="仿宋_GB2312" w:cs="仿宋_GB2312"/>
          <w:color w:val="auto"/>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（二）《中华人民共和国行政许可法》</w:t>
      </w:r>
      <w:r>
        <w:rPr>
          <w:rFonts w:hint="eastAsia" w:ascii="仿宋_GB2312" w:hAnsi="仿宋_GB2312" w:eastAsia="仿宋_GB2312" w:cs="仿宋_GB2312"/>
          <w:color w:val="auto"/>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《非银行支付机构监督管理条例》（国务院令〔2023〕768</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非银行支付机构监督管理条例实施细则》（中国人民银行</w:t>
      </w:r>
      <w:r>
        <w:rPr>
          <w:rFonts w:hint="eastAsia" w:ascii="仿宋_GB2312" w:hAnsi="仿宋_GB2312" w:eastAsia="仿宋_GB2312" w:cs="仿宋_GB2312"/>
          <w:color w:val="auto"/>
          <w:sz w:val="32"/>
          <w:szCs w:val="32"/>
          <w:lang w:eastAsia="zh-CN"/>
        </w:rPr>
        <w:t>令</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color w:val="auto"/>
          <w:sz w:val="32"/>
          <w:szCs w:val="32"/>
        </w:rPr>
        <w:t>布）</w:t>
      </w:r>
      <w:r>
        <w:rPr>
          <w:rFonts w:hint="eastAsia" w:ascii="仿宋_GB2312" w:hAnsi="仿宋_GB2312" w:eastAsia="仿宋_GB2312" w:cs="仿宋_GB2312"/>
          <w:color w:val="auto"/>
          <w:sz w:val="32"/>
          <w:szCs w:val="32"/>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《中国人民银行行政许可实施办法》（中国人民银行令〔2020〕第1号发布）</w:t>
      </w:r>
      <w:r>
        <w:rPr>
          <w:rFonts w:hint="eastAsia" w:ascii="仿宋_GB2312" w:hAnsi="仿宋_GB2312" w:eastAsia="仿宋_GB2312" w:cs="仿宋_GB2312"/>
          <w:color w:val="auto"/>
          <w:sz w:val="32"/>
          <w:szCs w:val="32"/>
          <w:lang w:val="en-US"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受理机构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审核机构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中国人民银行广西壮族自治区分行初审、中国人民银行复审。</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决定机构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数量限制</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行政许可条件</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（一）申请人条件</w:t>
      </w:r>
      <w:r>
        <w:rPr>
          <w:rFonts w:hint="eastAsia" w:ascii="楷体_GB2312" w:hAnsi="楷体_GB2312" w:eastAsia="楷体_GB2312" w:cs="楷体_GB2312"/>
          <w:color w:val="auto"/>
          <w:sz w:val="32"/>
          <w:szCs w:val="32"/>
          <w:lang w:eastAsia="zh-CN"/>
        </w:rPr>
        <w:t>。</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1.拟合并主体或者拟持证主体符合《条例》及《实施细则》有关规定。</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合并或者分立后股权结构稳定，承诺3年内不再变更主要股东或者实际控制人。主要股东改变股权比例且未导致主要股东身份和实际控制人变更，主要股东或者实际控制人死亡、丧失完全民事行为能力或者存在其他无法继续履行职责，执行法院判决、风险处置或者中国人民银行基于审慎监管原则同意再次变更等情形除外。</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3.具有保障用户合法权益、支付业务连续性的方案和措施。</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4.最近3年无重大违法违规记录。</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5.诚信记录良好。</w:t>
      </w:r>
    </w:p>
    <w:p>
      <w:pPr>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6.备付金管理机制健全有效。</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（二）符合如下条件的，准予</w:t>
      </w:r>
      <w:r>
        <w:rPr>
          <w:rFonts w:hint="eastAsia" w:ascii="楷体_GB2312" w:hAnsi="楷体_GB2312" w:eastAsia="楷体_GB2312" w:cs="楷体_GB2312"/>
          <w:color w:val="auto"/>
          <w:sz w:val="32"/>
          <w:szCs w:val="32"/>
          <w:lang w:eastAsia="zh-CN"/>
        </w:rPr>
        <w:t>行政许可。</w:t>
      </w:r>
    </w:p>
    <w:p>
      <w:pPr>
        <w:pStyle w:val="6"/>
        <w:spacing w:before="0" w:beforeLines="0" w:after="0" w:afterLines="0" w:line="560" w:lineRule="exact"/>
        <w:ind w:firstLine="0" w:firstLineChars="200"/>
        <w:rPr>
          <w:rFonts w:hAnsi="仿宋_GB2312" w:cs="仿宋_GB2312"/>
          <w:color w:val="auto"/>
          <w:sz w:val="32"/>
          <w:szCs w:val="32"/>
        </w:rPr>
      </w:pPr>
      <w:r>
        <w:rPr>
          <w:rFonts w:hAnsi="仿宋_GB2312" w:cs="仿宋_GB2312"/>
          <w:color w:val="auto"/>
          <w:sz w:val="32"/>
          <w:szCs w:val="32"/>
        </w:rPr>
        <w:t>申请人满足《条例》《实施细则》相关规定，</w:t>
      </w:r>
      <w:r>
        <w:rPr>
          <w:rFonts w:hint="eastAsia" w:ascii="仿宋_GB2312" w:eastAsia="仿宋_GB2312" w:cs="仿宋_GB2312"/>
          <w:color w:val="auto"/>
          <w:sz w:val="32"/>
          <w:szCs w:val="32"/>
        </w:rPr>
        <w:t>提交的申请材料齐全、符合法定形式。</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（三）有如下情形的，不予</w:t>
      </w:r>
      <w:r>
        <w:rPr>
          <w:rFonts w:hint="eastAsia" w:ascii="楷体_GB2312" w:hAnsi="楷体_GB2312" w:eastAsia="楷体_GB2312" w:cs="楷体_GB2312"/>
          <w:color w:val="auto"/>
          <w:sz w:val="32"/>
          <w:szCs w:val="32"/>
          <w:lang w:eastAsia="zh-CN"/>
        </w:rPr>
        <w:t>行政许可。</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rPr>
        <w:t>申请人</w:t>
      </w:r>
      <w:r>
        <w:rPr>
          <w:rFonts w:hint="eastAsia" w:ascii="仿宋_GB2312" w:hAnsi="仿宋_GB2312" w:eastAsia="仿宋_GB2312" w:cs="仿宋_GB2312"/>
          <w:color w:val="auto"/>
          <w:kern w:val="0"/>
          <w:sz w:val="32"/>
          <w:szCs w:val="32"/>
          <w:lang w:eastAsia="zh-CN"/>
        </w:rPr>
        <w:t>不</w:t>
      </w:r>
      <w:r>
        <w:rPr>
          <w:rFonts w:hint="eastAsia" w:ascii="仿宋_GB2312" w:hAnsi="仿宋_GB2312" w:eastAsia="仿宋_GB2312" w:cs="仿宋_GB2312"/>
          <w:color w:val="auto"/>
          <w:kern w:val="0"/>
          <w:sz w:val="32"/>
          <w:szCs w:val="32"/>
        </w:rPr>
        <w:t>满足《条例》《实施细则》相关规定，变更事项</w:t>
      </w:r>
      <w:r>
        <w:rPr>
          <w:rFonts w:hint="eastAsia" w:ascii="仿宋_GB2312" w:hAnsi="仿宋_GB2312" w:eastAsia="仿宋_GB2312" w:cs="仿宋_GB2312"/>
          <w:color w:val="auto"/>
          <w:kern w:val="0"/>
          <w:sz w:val="32"/>
          <w:szCs w:val="32"/>
          <w:lang w:eastAsia="zh-CN"/>
        </w:rPr>
        <w:t>不</w:t>
      </w:r>
      <w:r>
        <w:rPr>
          <w:rFonts w:hint="eastAsia" w:ascii="仿宋_GB2312" w:hAnsi="仿宋_GB2312" w:eastAsia="仿宋_GB2312" w:cs="仿宋_GB2312"/>
          <w:color w:val="auto"/>
          <w:kern w:val="0"/>
          <w:sz w:val="32"/>
          <w:szCs w:val="32"/>
        </w:rPr>
        <w:t>符合法定条件、标准。</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申请材料</w:t>
      </w:r>
    </w:p>
    <w:p>
      <w:pPr>
        <w:widowControl/>
        <w:numPr>
          <w:numId w:val="0"/>
        </w:numPr>
        <w:wordWrap/>
        <w:adjustRightInd/>
        <w:snapToGrid/>
        <w:spacing w:beforeLines="0" w:afterLines="0" w:line="560" w:lineRule="exact"/>
        <w:ind w:firstLine="0" w:firstLineChars="200"/>
        <w:textAlignment w:val="auto"/>
        <w:outlineLvl w:val="9"/>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（一）合并材料</w:t>
      </w:r>
      <w:r>
        <w:rPr>
          <w:rFonts w:hint="eastAsia" w:ascii="楷体_GB2312" w:hAnsi="楷体_GB2312" w:eastAsia="楷体_GB2312" w:cs="楷体_GB2312"/>
          <w:color w:val="auto"/>
          <w:kern w:val="0"/>
          <w:sz w:val="32"/>
          <w:szCs w:val="32"/>
          <w:highlight w:val="none"/>
          <w:lang w:val="en-US" w:eastAsia="zh-CN" w:bidi="ar-SA"/>
        </w:rPr>
        <w:t>。</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w:t>
      </w:r>
      <w:r>
        <w:rPr>
          <w:rFonts w:hint="default" w:ascii="仿宋_GB2312" w:hAnsi="仿宋_GB2312" w:eastAsia="仿宋_GB2312" w:cs="仿宋_GB2312"/>
          <w:color w:val="auto"/>
          <w:kern w:val="0"/>
          <w:sz w:val="32"/>
          <w:szCs w:val="32"/>
          <w:highlight w:val="none"/>
          <w:lang w:val="en-US" w:eastAsia="zh-CN" w:bidi="ar-SA"/>
        </w:rPr>
        <w:t>书面申请，载明拟合并主体和拟被合并主体的基本情况、变更原因、变更方案等。</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w:t>
      </w:r>
      <w:r>
        <w:rPr>
          <w:rFonts w:hint="default" w:ascii="仿宋_GB2312" w:hAnsi="仿宋_GB2312" w:eastAsia="仿宋_GB2312" w:cs="仿宋_GB2312"/>
          <w:color w:val="auto"/>
          <w:kern w:val="0"/>
          <w:sz w:val="32"/>
          <w:szCs w:val="32"/>
          <w:highlight w:val="none"/>
          <w:lang w:val="en-US" w:eastAsia="zh-CN" w:bidi="ar-SA"/>
        </w:rPr>
        <w:t>拟合并主体和拟被合并主体材料，包括：</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w:t>
      </w:r>
      <w:r>
        <w:rPr>
          <w:rFonts w:hint="default" w:ascii="仿宋_GB2312" w:hAnsi="仿宋_GB2312" w:eastAsia="仿宋_GB2312" w:cs="仿宋_GB2312"/>
          <w:color w:val="auto"/>
          <w:kern w:val="0"/>
          <w:sz w:val="32"/>
          <w:szCs w:val="32"/>
          <w:highlight w:val="none"/>
          <w:lang w:val="en-US" w:eastAsia="zh-CN" w:bidi="ar-SA"/>
        </w:rPr>
        <w:t>营业执照（副本）复印件和支付业务许可证复印件。</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无重大违法违规材料，含最近3年无重大违法违规记录承诺，以及其他能够说明没有因涉嫌重大违法违规正在被调查或者处于整改期间的相关材料。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w:t>
      </w:r>
      <w:r>
        <w:rPr>
          <w:rFonts w:hint="default" w:ascii="仿宋_GB2312" w:hAnsi="仿宋_GB2312" w:eastAsia="仿宋_GB2312" w:cs="仿宋_GB2312"/>
          <w:color w:val="auto"/>
          <w:kern w:val="0"/>
          <w:sz w:val="32"/>
          <w:szCs w:val="32"/>
          <w:highlight w:val="none"/>
          <w:lang w:val="en-US" w:eastAsia="zh-CN" w:bidi="ar-SA"/>
        </w:rPr>
        <w:t>诚信记录良好材料，含企业征信报告，以及其他能够说明诚信记录良好的材料。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备付金安全承诺。</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公司合规经营情况说明，含最近3年经营情况、被投诉举报情况、受到行政处罚或者被采取监管措施情况，以及上述相关问题的整改情况。</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拟合并主体或者拟被合并主体为国有企业、国有控股企业或者上市企业，变更涉及国有资产转让或者上市公司资产交易依法应当取得相关监管部门批准或者备案的，应当提供批准或者备案文件。</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w:t>
      </w:r>
      <w:r>
        <w:rPr>
          <w:rFonts w:hint="default" w:ascii="仿宋_GB2312" w:hAnsi="仿宋_GB2312" w:eastAsia="仿宋_GB2312" w:cs="仿宋_GB2312"/>
          <w:color w:val="auto"/>
          <w:kern w:val="0"/>
          <w:sz w:val="32"/>
          <w:szCs w:val="32"/>
          <w:highlight w:val="none"/>
          <w:lang w:val="en-US" w:eastAsia="zh-CN" w:bidi="ar-SA"/>
        </w:rPr>
        <w:t>拟合并主体和拟被合并主体股东会或者其他有权决定机构同意拟变更的决议文件。</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default" w:ascii="仿宋_GB2312" w:hAnsi="仿宋_GB2312" w:eastAsia="仿宋_GB2312" w:cs="仿宋_GB2312"/>
          <w:color w:val="auto"/>
          <w:kern w:val="0"/>
          <w:sz w:val="32"/>
          <w:szCs w:val="32"/>
          <w:highlight w:val="none"/>
          <w:lang w:val="en-US" w:eastAsia="zh-CN" w:bidi="ar-SA"/>
        </w:rPr>
        <w:t>合并方案和公告，包括业务承接方案和时间安排，用户权益保障、风险控制和舆情应对方案，合并公告样式以及其他需要说明的事项。</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w:t>
      </w:r>
      <w:r>
        <w:rPr>
          <w:rFonts w:hint="default" w:ascii="仿宋_GB2312" w:hAnsi="仿宋_GB2312" w:eastAsia="仿宋_GB2312" w:cs="仿宋_GB2312"/>
          <w:color w:val="auto"/>
          <w:kern w:val="0"/>
          <w:sz w:val="32"/>
          <w:szCs w:val="32"/>
          <w:highlight w:val="none"/>
          <w:lang w:val="en-US" w:eastAsia="zh-CN" w:bidi="ar-SA"/>
        </w:rPr>
        <w:t>拟合并主体资质合规情况材料，包括拟合并主体在注册资本，董事、监事和高级管理人员，主要股东和实际控制人，公司治理结构、内部控制和风险管理制度，经营场所、安全保障措施，以及业务系统、设施和技术等方面符合《条例》及本细则有关规定的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1</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验资证明或者公司资本情况材料。</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主要股东、实际控制人材料</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主要股东材料包括：</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①申请人股东关联关系说明材料，以及股权结构和控制框架图。</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②营业执照（副本）复印件，或者有效身份证件复印件、个人履历。</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③财务状况和出资情况说明材料，含出资方资金来源说明，以及最近2年经会计师事务所审计的财务会计报告或者个人财务状况说明。</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⑤诚信记录良好材料，含企业或者个人征信报告，以及其他能够说明诚信记录良好的相关材料。</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⑥股权稳定性和补充资本承诺书，含主要股东3年内不再变更的承诺，以及非银行支付机构发生风险事件影响其正常运营、损害用户合法权益时，主要股东补充资本的承诺。</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主要股东为金融机构的，还应当提供金融业务许可证复印件、准予投资申请人的批复文件或者其他相关材料。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实际控制人材料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①申请人实际控制权和控制关系说明材料。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②营业执照（副本）复印件，或者有效身份证件复印件、个人履历。</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③财务状况和出资情况说明材料，含出资方资金来源说明，以及最近2年经会计师事务所审计的财务会计报告或者个人财务状况说明。</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⑤诚信记录良好材料，含企业或者个人征信报告，以及其他能够说明诚信记录良好的相关材料。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⑥股权稳定性承诺书，含实际控制人3年内不再变更的承诺。</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⑦实际控制人为自然人的，还应当提交其实际控制的公司最近2年经营情况说明材料、最近2年经会计师事务所审计的财务会计报告或者其他相关材料。</w:t>
      </w:r>
    </w:p>
    <w:p>
      <w:pPr>
        <w:wordWrap/>
        <w:adjustRightInd/>
        <w:snapToGrid/>
        <w:spacing w:beforeLines="0" w:afterLines="0" w:line="560" w:lineRule="exact"/>
        <w:ind w:firstLine="640" w:firstLineChars="200"/>
        <w:jc w:val="both"/>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上述实际控制的公司，指申请人实际控制权和控制关系说明材料中，实际控制人控制的、除非银行支付机构之外财务状况良好的公司。</w:t>
      </w:r>
    </w:p>
    <w:p>
      <w:pPr>
        <w:widowControl/>
        <w:numPr>
          <w:numId w:val="0"/>
        </w:num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拟任董事、监事和高级管理人员材料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①有效身份证件复印件。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②个人履历和相关说明材料。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③高级管理人员学历证书复印件。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⑤诚信记录良好材料，含个人征信报告，以及其他能够说明诚信记录良好的相关材料。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⑥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拟合并主体的组织机构设置方案、内部控制制度、风险管理制度、退出预案以及用户合法权益保障机制材料。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支付业务发展规划和可行性研究报告</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①拟从事支付业务的市场前景分析。</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②拟从事支付业务的处理流程，载明从用户发起支付业务到完成用户委托支付业务各环节的业务内容以及相关资金流转情况。</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③拟从事支付业务的风险分析和管理措施，并对支付业务各环节分别进行说明。</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④拟从事支付业务的成本和经济效益分析。</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拟申请不同类型支付业务的，应当按照支付业务类型分别提供前款规定内容。</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反洗钱和反恐怖融资措施材料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反洗钱内部控制制度文件，载明反洗钱合规管理框架、客户尽职调查和客户身份资料及交易记录保存措施、大额和可疑交易报告措施、反洗钱审计和培训措施、协助反洗钱调查的内部程序、反洗钱工作保密措施。</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②反洗钱岗位设置和职责说明，载明负责反洗钱工作的内设机构、反洗钱高级管理人员和专职反洗钱工作人员及其联系方式。</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③开展大额和可疑交易监测的技术条件说明。</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④洗钱风险自评估制度，《条例》施行前已按照有关规定设立的非银行支付机构还应当提交已完成的洗钱风险自评估报告。</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7</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支付业务设施材料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①支付业务设施机房部署情况。非银行支付机构生产中心机房原则上应当与非银行支付机构主要经营场所所在地位于同一省、自治区、直辖市。</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②支付业务设施符合中国人民银行规定的业务规范、技术标准和安全要求说明材料。</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8</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有符合规定的经营场所材料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包括住所所有权或者使用权的说明材料，以及经营场所安全的相关材料。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w:t>
      </w:r>
      <w:r>
        <w:rPr>
          <w:rFonts w:hint="default" w:ascii="仿宋_GB2312" w:hAnsi="仿宋_GB2312" w:eastAsia="仿宋_GB2312" w:cs="仿宋_GB2312"/>
          <w:color w:val="auto"/>
          <w:kern w:val="0"/>
          <w:sz w:val="32"/>
          <w:szCs w:val="32"/>
          <w:highlight w:val="none"/>
          <w:lang w:val="en-US" w:eastAsia="zh-CN" w:bidi="ar-SA"/>
        </w:rPr>
        <w:t>出资方资金来源说明。</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7.</w:t>
      </w:r>
      <w:r>
        <w:rPr>
          <w:rFonts w:hint="eastAsia" w:ascii="仿宋_GB2312" w:hAnsi="仿宋_GB2312" w:eastAsia="仿宋_GB2312" w:cs="仿宋_GB2312"/>
          <w:color w:val="auto"/>
          <w:kern w:val="0"/>
          <w:sz w:val="32"/>
          <w:szCs w:val="32"/>
          <w:highlight w:val="none"/>
          <w:lang w:val="en-US" w:eastAsia="zh-CN" w:bidi="ar-SA"/>
        </w:rPr>
        <w:t>拟合并主体主要股东与拟被合并主体主要股东之间的关联关系说明，以及拟合并主体各股东之间的关联关系说明。</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8.</w:t>
      </w:r>
      <w:r>
        <w:rPr>
          <w:rFonts w:hint="default" w:ascii="仿宋_GB2312" w:hAnsi="仿宋_GB2312" w:eastAsia="仿宋_GB2312" w:cs="仿宋_GB2312"/>
          <w:color w:val="auto"/>
          <w:kern w:val="0"/>
          <w:sz w:val="32"/>
          <w:szCs w:val="32"/>
          <w:highlight w:val="none"/>
          <w:lang w:val="en-US" w:eastAsia="zh-CN" w:bidi="ar-SA"/>
        </w:rPr>
        <w:t>合并协议复印件、价格合理性说明和第三方出具的资产评估报告等。</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9.</w:t>
      </w:r>
      <w:r>
        <w:rPr>
          <w:rFonts w:hint="default" w:ascii="仿宋_GB2312" w:hAnsi="仿宋_GB2312" w:eastAsia="仿宋_GB2312" w:cs="仿宋_GB2312"/>
          <w:color w:val="auto"/>
          <w:kern w:val="0"/>
          <w:sz w:val="32"/>
          <w:szCs w:val="32"/>
          <w:highlight w:val="none"/>
          <w:lang w:val="en-US" w:eastAsia="zh-CN" w:bidi="ar-SA"/>
        </w:rPr>
        <w:t>拟被合并主体支付业务终止方案。</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10.</w:t>
      </w:r>
      <w:r>
        <w:rPr>
          <w:rFonts w:hint="default" w:ascii="仿宋_GB2312" w:hAnsi="仿宋_GB2312" w:eastAsia="仿宋_GB2312" w:cs="仿宋_GB2312"/>
          <w:color w:val="auto"/>
          <w:kern w:val="0"/>
          <w:sz w:val="32"/>
          <w:szCs w:val="32"/>
          <w:highlight w:val="none"/>
          <w:lang w:val="en-US" w:eastAsia="zh-CN" w:bidi="ar-SA"/>
        </w:rPr>
        <w:t>股权稳定性承诺书。</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11.</w:t>
      </w:r>
      <w:r>
        <w:rPr>
          <w:rFonts w:hint="default" w:ascii="仿宋_GB2312" w:hAnsi="仿宋_GB2312" w:eastAsia="仿宋_GB2312" w:cs="仿宋_GB2312"/>
          <w:color w:val="auto"/>
          <w:kern w:val="0"/>
          <w:sz w:val="32"/>
          <w:szCs w:val="32"/>
          <w:highlight w:val="none"/>
          <w:lang w:val="en-US" w:eastAsia="zh-CN" w:bidi="ar-SA"/>
        </w:rPr>
        <w:t>申请材料真实性声明。</w:t>
      </w:r>
    </w:p>
    <w:p>
      <w:pPr>
        <w:widowControl/>
        <w:numPr>
          <w:numId w:val="0"/>
        </w:numPr>
        <w:wordWrap/>
        <w:adjustRightInd/>
        <w:snapToGrid/>
        <w:spacing w:beforeLines="0" w:afterLines="0" w:line="560" w:lineRule="exact"/>
        <w:ind w:firstLine="0" w:firstLineChars="200"/>
        <w:textAlignment w:val="auto"/>
        <w:outlineLvl w:val="9"/>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（二）分立材料</w:t>
      </w:r>
      <w:r>
        <w:rPr>
          <w:rFonts w:hint="eastAsia" w:ascii="楷体_GB2312" w:hAnsi="楷体_GB2312" w:eastAsia="楷体_GB2312" w:cs="楷体_GB2312"/>
          <w:color w:val="auto"/>
          <w:kern w:val="0"/>
          <w:sz w:val="32"/>
          <w:szCs w:val="32"/>
          <w:highlight w:val="none"/>
          <w:lang w:val="en-US" w:eastAsia="zh-CN" w:bidi="ar-SA"/>
        </w:rPr>
        <w:t>。</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w:t>
      </w:r>
      <w:r>
        <w:rPr>
          <w:rFonts w:hint="default" w:ascii="仿宋_GB2312" w:hAnsi="仿宋_GB2312" w:eastAsia="仿宋_GB2312" w:cs="仿宋_GB2312"/>
          <w:color w:val="auto"/>
          <w:kern w:val="0"/>
          <w:sz w:val="32"/>
          <w:szCs w:val="32"/>
          <w:highlight w:val="none"/>
          <w:lang w:val="en-US" w:eastAsia="zh-CN" w:bidi="ar-SA"/>
        </w:rPr>
        <w:t>书面申请，载明申请人基本情况、变更原因、变更方案等。</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w:t>
      </w:r>
      <w:r>
        <w:rPr>
          <w:rFonts w:hint="default" w:ascii="仿宋_GB2312" w:hAnsi="仿宋_GB2312" w:eastAsia="仿宋_GB2312" w:cs="仿宋_GB2312"/>
          <w:color w:val="auto"/>
          <w:kern w:val="0"/>
          <w:sz w:val="32"/>
          <w:szCs w:val="32"/>
          <w:highlight w:val="none"/>
          <w:lang w:val="en-US" w:eastAsia="zh-CN" w:bidi="ar-SA"/>
        </w:rPr>
        <w:t>申请人相关材料，包括：</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1</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营业执照（副本）复印件和支付业务许可证复印件。</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无重大违法违规材料，含最近3年无重大违法违规记录承诺，以及其他能够说明没有因涉嫌重大违法违规正在被调查或者处于整改期间的相关材料。</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诚信记录良好材料，含企业征信报告，以及其他能够说明诚信记录良好的相关材料。</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备付金安全承诺。</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公司合规经营情况说明，含最近3年经营情况、被投诉举报情况、受到行政处罚或者被采取监管措施情况，以及上述相关问题的整改情况。</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申请人为国有企业、国有控股企业或者上市企业，变更涉及国有资产转让或者上市公司资产交易依法应当取得相关监管部门批准或者备案的，应当提供批准或者备案文件。</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w:t>
      </w:r>
      <w:r>
        <w:rPr>
          <w:rFonts w:hint="default" w:ascii="仿宋_GB2312" w:hAnsi="仿宋_GB2312" w:eastAsia="仿宋_GB2312" w:cs="仿宋_GB2312"/>
          <w:color w:val="auto"/>
          <w:kern w:val="0"/>
          <w:sz w:val="32"/>
          <w:szCs w:val="32"/>
          <w:highlight w:val="none"/>
          <w:lang w:val="en-US" w:eastAsia="zh-CN" w:bidi="ar-SA"/>
        </w:rPr>
        <w:t>股东会或者其他有权决定机构同意申请人拟变更的决议文件。</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default" w:ascii="仿宋_GB2312" w:hAnsi="仿宋_GB2312" w:eastAsia="仿宋_GB2312" w:cs="仿宋_GB2312"/>
          <w:color w:val="auto"/>
          <w:kern w:val="0"/>
          <w:sz w:val="32"/>
          <w:szCs w:val="32"/>
          <w:highlight w:val="none"/>
          <w:lang w:val="en-US" w:eastAsia="zh-CN" w:bidi="ar-SA"/>
        </w:rPr>
        <w:t>分立方案和公告，包括拟持证主体业务承接方案和时间安排，用户权益保障、风险控制和舆情应对方案，分立公告样式以及其他需要说明的事项。</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w:t>
      </w:r>
      <w:r>
        <w:rPr>
          <w:rFonts w:hint="default" w:ascii="仿宋_GB2312" w:hAnsi="仿宋_GB2312" w:eastAsia="仿宋_GB2312" w:cs="仿宋_GB2312"/>
          <w:color w:val="auto"/>
          <w:kern w:val="0"/>
          <w:sz w:val="32"/>
          <w:szCs w:val="32"/>
          <w:highlight w:val="none"/>
          <w:lang w:val="en-US" w:eastAsia="zh-CN" w:bidi="ar-SA"/>
        </w:rPr>
        <w:t>拟持证主体资质合规情况材料，包括拟持证主体在注册资本，董事、监事和高级管理人员，主要股东和实际控制人，公司治理结构、内部控制和风险管理制度，经营场所、安全保障措施，以及业务系统、设施和技术等方面符合《条例》及本细则有关规定的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1</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验资证明或者公司资本情况材料。</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主要股东、实际控制人材料</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主要股东材料包括：</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①申请人股东关联关系说明材料，以及股权结构和控制框架图。</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②营业执照（副本）复印件，或者有效身份证件复印件、个人履历。</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③财务状况和出资情况说明材料，含出资方资金来源说明，以及最近2年经会计师事务所审计的财务会计报告或者个人财务状况说明。</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⑤诚信记录良好材料，含企业或者个人征信报告，以及其他能够说明诚信记录良好的相关材料。</w:t>
      </w:r>
    </w:p>
    <w:p>
      <w:pPr>
        <w:widowControl/>
        <w:wordWrap/>
        <w:spacing w:beforeLines="0" w:afterLines="0" w:line="560" w:lineRule="exact"/>
        <w:ind w:firstLine="0" w:firstLineChars="200"/>
        <w:jc w:val="both"/>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⑥股权稳定性和补充资本承诺书，含主要股东3年内不再变更的承诺，以及非银行支付机构发生风险事件影响其正常运营、损害用户合法权益时，主要股东补充资本的承诺。</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主要股东为金融机构的，还应当提供金融业务许可证复印件、准予投资申请人的批复文件或者其他相关材料。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实际控制人材料</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①申请人实际控制权和控制关系说明材料。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②营业执照（副本）复印件，或者有效身份证件复印件、个人履历。</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③财务状况和出资情况说明材料，含出资方资金来源说明，以及最近2年经会计师事务所审计的财务会计报告或者个人财务状况说明。</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⑤诚信记录良好材料，含企业或者个人征信报告，以及其他能够说明诚信记录良好的相关材料。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⑥股权稳定性承诺书，含实际控制人3年内不再变更的承诺。</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⑦实际控制人为自然人的，还应当提交其实际控制的公司最近2年经营情况说明材料、最近2年经会计师事务所审计的财务会计报告或者其他相关材料。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u w:val="none"/>
          <w:lang w:val="en-US" w:eastAsia="zh-CN"/>
        </w:rPr>
        <w:t>上述实际控制的公司，指申请人实际控制权和控制关系说明材料中，实际控制人控制的、除非银行支付机构之外财务状况良好的公司。</w:t>
      </w:r>
    </w:p>
    <w:p>
      <w:pPr>
        <w:widowControl/>
        <w:numPr>
          <w:numId w:val="0"/>
        </w:num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拟任董事、监事和高级管理人员材料</w:t>
      </w:r>
      <w:r>
        <w:rPr>
          <w:rFonts w:hint="eastAsia" w:ascii="仿宋_GB2312" w:hAnsi="仿宋_GB2312" w:eastAsia="仿宋_GB2312" w:cs="仿宋_GB2312"/>
          <w:color w:val="auto"/>
          <w:kern w:val="0"/>
          <w:sz w:val="32"/>
          <w:szCs w:val="32"/>
          <w:highlight w:val="none"/>
          <w:lang w:val="en-US" w:eastAsia="zh-CN" w:bidi="ar-SA"/>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①有效身份证件复印件。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②个人履历和相关说明材料。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③高级管理人员学历证书复印件。</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④无重大违法违规材料，含最近3年无重大违法违规记录承诺，以及其他能够说明没有因涉嫌重大违法违规正在被调查或者处于整改期间的相关材料。</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⑤诚信记录良好材料，含个人征信报告，以及其他能够说明诚信记录良好的相关材料。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⑥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拟</w:t>
      </w:r>
      <w:r>
        <w:rPr>
          <w:rFonts w:hint="eastAsia" w:ascii="仿宋_GB2312" w:hAnsi="仿宋_GB2312" w:eastAsia="仿宋_GB2312" w:cs="仿宋_GB2312"/>
          <w:color w:val="auto"/>
          <w:kern w:val="0"/>
          <w:sz w:val="32"/>
          <w:szCs w:val="32"/>
          <w:highlight w:val="none"/>
          <w:lang w:val="en-US" w:eastAsia="zh-CN" w:bidi="ar-SA"/>
        </w:rPr>
        <w:t>分立</w:t>
      </w:r>
      <w:r>
        <w:rPr>
          <w:rFonts w:hint="default" w:ascii="仿宋_GB2312" w:hAnsi="仿宋_GB2312" w:eastAsia="仿宋_GB2312" w:cs="仿宋_GB2312"/>
          <w:color w:val="auto"/>
          <w:kern w:val="0"/>
          <w:sz w:val="32"/>
          <w:szCs w:val="32"/>
          <w:highlight w:val="none"/>
          <w:lang w:val="en-US" w:eastAsia="zh-CN" w:bidi="ar-SA"/>
        </w:rPr>
        <w:t>主体的组织机构设置方案、内部控制制度、风险管理制度、退出预案以及用户合法权益保障机制材料。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支付业务发展规划和可行性研究报告</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①拟从事支付业务的市场前景分析。</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②拟从事支付业务的处理流程，载明从用户发起支付业务到完成用户委托支付业务各环节的业务内容以及相关资金流转情况。</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③拟从事支付业务的风险分析和管理措施，并对支付业务各环节分别进行说明。</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④拟从事支付业务的成本和经济效益分析。</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拟申请不同类型支付业务的，应当按照支付业务类型分别提供前款规定内容。</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反洗钱和反恐怖融资措施材料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反洗钱内部控制制度文件，载明反洗钱合规管理框架、客户尽职调查和客户身份资料及交易记录保存措施、大额和可疑交易报告措施、反洗钱审计和培训措施、协助反洗钱调查的内部程序、反洗钱工作保密措施。</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②反洗钱岗位设置和职责说明，载明负责反洗钱工作的内设机构、反洗钱高级管理人员和专职反洗钱工作人员及其联系方式。</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③开展大额和可疑交易监测的技术条件说明。</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strike w:val="0"/>
          <w:dstrike w:val="0"/>
          <w:color w:val="auto"/>
          <w:sz w:val="32"/>
          <w:szCs w:val="32"/>
          <w:highlight w:val="none"/>
          <w:lang w:val="en-US" w:eastAsia="zh-CN"/>
        </w:rPr>
        <w:t>④洗钱风险自评估制度，《条例》施行前已按照有关规定设立的非银行支付机构还应当提交已完成的洗钱风险自评估报告。</w:t>
      </w:r>
    </w:p>
    <w:p>
      <w:pPr>
        <w:widowControl/>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7</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支付业务设施材料</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包括：</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①支付业务设施机房部署情况。非银行支付机构生产中心机房原则上应当与非银行支付机构主要经营场所所在地位于同一省、自治区、直辖市。</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②支付业务设施符合中国人民银行规定的业务规范、技术标准和安全要求说明材料。</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（8）有符合规定的经营场所材料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包括住所所有权或者使用权的说明材料，以及经营场所安全的相关材料。6.拟持证主体各股东之间的关联关系说明。</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7.</w:t>
      </w:r>
      <w:r>
        <w:rPr>
          <w:rFonts w:hint="default" w:ascii="仿宋_GB2312" w:hAnsi="仿宋_GB2312" w:eastAsia="仿宋_GB2312" w:cs="仿宋_GB2312"/>
          <w:color w:val="auto"/>
          <w:kern w:val="0"/>
          <w:sz w:val="32"/>
          <w:szCs w:val="32"/>
          <w:highlight w:val="none"/>
          <w:lang w:val="en-US" w:eastAsia="zh-CN" w:bidi="ar-SA"/>
        </w:rPr>
        <w:t>分立协议复印件，财产、债务分割安排合理性说明和第三方出具的资产评估报告等。</w:t>
      </w:r>
    </w:p>
    <w:p>
      <w:pPr>
        <w:widowControl/>
        <w:numPr>
          <w:numId w:val="0"/>
        </w:numPr>
        <w:wordWrap/>
        <w:adjustRightInd/>
        <w:snapToGrid/>
        <w:spacing w:beforeLines="0" w:afterLines="0" w:line="560" w:lineRule="exact"/>
        <w:ind w:firstLine="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8.</w:t>
      </w:r>
      <w:r>
        <w:rPr>
          <w:rFonts w:hint="default" w:ascii="仿宋_GB2312" w:hAnsi="仿宋_GB2312" w:eastAsia="仿宋_GB2312" w:cs="仿宋_GB2312"/>
          <w:color w:val="auto"/>
          <w:kern w:val="0"/>
          <w:sz w:val="32"/>
          <w:szCs w:val="32"/>
          <w:highlight w:val="none"/>
          <w:lang w:val="en-US" w:eastAsia="zh-CN" w:bidi="ar-SA"/>
        </w:rPr>
        <w:t>股权稳定性承诺书。</w:t>
      </w:r>
    </w:p>
    <w:p>
      <w:pPr>
        <w:widowControl/>
        <w:numPr>
          <w:numId w:val="0"/>
        </w:numPr>
        <w:wordWrap/>
        <w:adjustRightInd/>
        <w:snapToGrid/>
        <w:spacing w:beforeLines="0" w:afterLines="0" w:line="560" w:lineRule="exact"/>
        <w:ind w:firstLine="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9.</w:t>
      </w:r>
      <w:r>
        <w:rPr>
          <w:rFonts w:hint="default" w:ascii="仿宋_GB2312" w:hAnsi="仿宋_GB2312" w:eastAsia="仿宋_GB2312" w:cs="仿宋_GB2312"/>
          <w:color w:val="auto"/>
          <w:kern w:val="0"/>
          <w:sz w:val="32"/>
          <w:szCs w:val="32"/>
          <w:highlight w:val="none"/>
          <w:lang w:val="en-US" w:eastAsia="zh-CN" w:bidi="ar-SA"/>
        </w:rPr>
        <w:t>申请材料真实性声明。</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申请接收方式</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支付结算处</w:t>
      </w:r>
      <w:r>
        <w:rPr>
          <w:rFonts w:hint="eastAsia" w:ascii="仿宋_GB2312" w:hAnsi="仿宋_GB2312" w:eastAsia="仿宋_GB2312" w:cs="仿宋_GB2312"/>
          <w:color w:val="auto"/>
          <w:sz w:val="32"/>
          <w:szCs w:val="32"/>
          <w:highlight w:val="none"/>
          <w:lang w:eastAsia="zh-CN"/>
        </w:rPr>
        <w:t>当面接收</w:t>
      </w:r>
      <w:r>
        <w:rPr>
          <w:rFonts w:hint="eastAsia" w:ascii="仿宋_GB2312" w:hAnsi="仿宋_GB2312" w:eastAsia="仿宋_GB2312" w:cs="仿宋_GB2312"/>
          <w:color w:val="auto"/>
          <w:sz w:val="32"/>
          <w:szCs w:val="32"/>
          <w:highlight w:val="none"/>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办理基本流程和办理方式</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（一）接收申请材料</w:t>
      </w:r>
      <w:r>
        <w:rPr>
          <w:rFonts w:hint="eastAsia" w:ascii="楷体_GB2312" w:hAnsi="楷体_GB2312" w:eastAsia="楷体_GB2312" w:cs="楷体_GB2312"/>
          <w:color w:val="auto"/>
          <w:sz w:val="32"/>
          <w:szCs w:val="32"/>
          <w:highlight w:val="none"/>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1.中国人民银行</w:t>
      </w:r>
      <w:r>
        <w:rPr>
          <w:rFonts w:hint="eastAsia" w:ascii="仿宋_GB2312" w:hAnsi="仿宋_GB2312" w:eastAsia="仿宋_GB2312" w:cs="仿宋_GB2312"/>
          <w:color w:val="auto"/>
          <w:sz w:val="32"/>
          <w:szCs w:val="32"/>
          <w:highlight w:val="none"/>
          <w:lang w:val="en-US" w:eastAsia="zh-CN"/>
        </w:rPr>
        <w:t>广西壮族自治区分行</w:t>
      </w:r>
      <w:r>
        <w:rPr>
          <w:rFonts w:hint="eastAsia" w:ascii="仿宋_GB2312" w:hAnsi="仿宋_GB2312" w:eastAsia="仿宋_GB2312" w:cs="仿宋_GB2312"/>
          <w:color w:val="auto"/>
          <w:sz w:val="32"/>
          <w:szCs w:val="32"/>
          <w:highlight w:val="none"/>
        </w:rPr>
        <w:t>接收申请人提交的申请材料，并清点材料数量。</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2.清点无误的，中国人民银行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向申请人出具材料接收凭证。</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（二）出具受理意见</w:t>
      </w:r>
      <w:r>
        <w:rPr>
          <w:rFonts w:hint="eastAsia" w:ascii="楷体_GB2312" w:hAnsi="楷体_GB2312" w:eastAsia="楷体_GB2312" w:cs="楷体_GB2312"/>
          <w:color w:val="auto"/>
          <w:sz w:val="32"/>
          <w:szCs w:val="32"/>
          <w:highlight w:val="none"/>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r>
        <w:rPr>
          <w:rFonts w:hint="eastAsia" w:ascii="仿宋_GB2312" w:hAnsi="仿宋_GB2312" w:eastAsia="仿宋_GB2312" w:cs="仿宋_GB2312"/>
          <w:color w:val="auto"/>
          <w:sz w:val="32"/>
          <w:szCs w:val="32"/>
          <w:highlight w:val="none"/>
        </w:rPr>
        <w:t>对申请材料进行初步审核，视以下不同情况出具受理意见：</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对于申请材料不齐全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不符合法定形式或者存在错误不能当场更正的，中国人民银行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退回已经收到的全部申请材料</w:t>
      </w:r>
      <w:r>
        <w:rPr>
          <w:rFonts w:hint="eastAsia" w:ascii="仿宋_GB2312" w:hAnsi="仿宋_GB2312" w:eastAsia="仿宋_GB2312" w:cs="仿宋_GB2312"/>
          <w:color w:val="auto"/>
          <w:sz w:val="32"/>
          <w:szCs w:val="32"/>
          <w:highlight w:val="none"/>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对于申请人</w:t>
      </w:r>
      <w:r>
        <w:rPr>
          <w:rFonts w:hint="eastAsia" w:ascii="仿宋_GB2312" w:hAnsi="仿宋_GB2312" w:eastAsia="仿宋_GB2312" w:cs="仿宋_GB2312"/>
          <w:color w:val="auto"/>
          <w:sz w:val="32"/>
          <w:szCs w:val="32"/>
          <w:highlight w:val="none"/>
          <w:u w:val="none"/>
          <w:lang w:eastAsia="zh-CN"/>
        </w:rPr>
        <w:t>申请事项不属于中国人民银行职权范围</w:t>
      </w:r>
      <w:r>
        <w:rPr>
          <w:rFonts w:hint="eastAsia" w:ascii="仿宋_GB2312" w:hAnsi="仿宋_GB2312" w:eastAsia="仿宋_GB2312" w:cs="仿宋_GB2312"/>
          <w:color w:val="auto"/>
          <w:sz w:val="32"/>
          <w:szCs w:val="32"/>
          <w:highlight w:val="none"/>
          <w:u w:val="none"/>
          <w:lang w:eastAsia="zh-CN"/>
        </w:rPr>
        <w:t>，或者</w:t>
      </w:r>
      <w:r>
        <w:rPr>
          <w:rFonts w:hint="eastAsia" w:ascii="仿宋_GB2312" w:hAnsi="仿宋_GB2312" w:eastAsia="仿宋_GB2312" w:cs="仿宋_GB2312"/>
          <w:color w:val="auto"/>
          <w:sz w:val="32"/>
          <w:szCs w:val="32"/>
          <w:highlight w:val="none"/>
          <w:lang w:eastAsia="zh-CN"/>
        </w:rPr>
        <w:t>提供的补正</w:t>
      </w:r>
      <w:r>
        <w:rPr>
          <w:rFonts w:hint="eastAsia" w:ascii="仿宋_GB2312" w:hAnsi="仿宋_GB2312" w:eastAsia="仿宋_GB2312" w:cs="仿宋_GB2312"/>
          <w:color w:val="auto"/>
          <w:sz w:val="32"/>
          <w:szCs w:val="32"/>
          <w:highlight w:val="none"/>
          <w:lang w:eastAsia="zh-CN"/>
        </w:rPr>
        <w:t>申请</w:t>
      </w:r>
      <w:r>
        <w:rPr>
          <w:rFonts w:hint="eastAsia" w:ascii="仿宋_GB2312" w:hAnsi="仿宋_GB2312" w:eastAsia="仿宋_GB2312" w:cs="仿宋_GB2312"/>
          <w:color w:val="auto"/>
          <w:sz w:val="32"/>
          <w:szCs w:val="32"/>
          <w:highlight w:val="none"/>
          <w:lang w:eastAsia="zh-CN"/>
        </w:rPr>
        <w:t>材料不齐全、不符合法定形式，补正后仍存在不符合受理条件的其他情形，</w:t>
      </w:r>
      <w:r>
        <w:rPr>
          <w:rFonts w:hint="eastAsia" w:ascii="仿宋_GB2312" w:hAnsi="仿宋_GB2312" w:eastAsia="仿宋_GB2312" w:cs="仿宋_GB2312"/>
          <w:color w:val="auto"/>
          <w:sz w:val="32"/>
          <w:szCs w:val="32"/>
          <w:highlight w:val="none"/>
          <w:u w:val="none"/>
          <w:lang w:eastAsia="zh-CN"/>
        </w:rPr>
        <w:t>或者曾以欺骗、虚假出资、循环注资或者利用非自有资金出资等不正当手段申请或者参与申请合并与分立，未获批准时间间隔不足1年的或者已获批准被撤销相关许可时间间隔不足</w:t>
      </w:r>
      <w:r>
        <w:rPr>
          <w:rFonts w:hint="eastAsia" w:ascii="仿宋_GB2312" w:hAnsi="仿宋_GB2312" w:eastAsia="仿宋_GB2312" w:cs="仿宋_GB2312"/>
          <w:color w:val="auto"/>
          <w:sz w:val="32"/>
          <w:szCs w:val="32"/>
          <w:highlight w:val="none"/>
          <w:u w:val="none"/>
          <w:lang w:val="en-US" w:eastAsia="zh-CN"/>
        </w:rPr>
        <w:t>3年的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eastAsia="zh-CN"/>
        </w:rPr>
        <w:t>中国人民银行广西壮族自治区分行不予受理，并出具加盖本行行政许可专用章的不予受理决定书，说明不予受理的理由和依据，退回已经收到的全部申请材料。</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对于</w:t>
      </w:r>
      <w:r>
        <w:rPr>
          <w:rFonts w:hint="eastAsia" w:ascii="仿宋_GB2312" w:hAnsi="仿宋_GB2312" w:eastAsia="仿宋_GB2312" w:cs="仿宋_GB2312"/>
          <w:color w:val="auto"/>
          <w:sz w:val="32"/>
          <w:szCs w:val="32"/>
          <w:highlight w:val="none"/>
          <w:lang w:eastAsia="zh-CN"/>
        </w:rPr>
        <w:t>申请事项属于中国人民银行职权范围，</w:t>
      </w:r>
      <w:r>
        <w:rPr>
          <w:rFonts w:hint="eastAsia" w:ascii="仿宋_GB2312" w:hAnsi="仿宋_GB2312" w:eastAsia="仿宋_GB2312" w:cs="仿宋_GB2312"/>
          <w:color w:val="auto"/>
          <w:sz w:val="32"/>
          <w:szCs w:val="32"/>
          <w:highlight w:val="none"/>
        </w:rPr>
        <w:t>申请材料齐全、符合法定形式的，或者申请人按要求提交全部补正申请材料</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中国人民银行广西壮族自治区分行于收到申请材料或者全部补正申请材料之日起5个工作日内，出具加盖本行行政许可专用章并注明受理日期的行政许可受理通知书。</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对于受理、不予受理或者要求补正申请材料的通知书，</w:t>
      </w:r>
      <w:r>
        <w:rPr>
          <w:rFonts w:hint="eastAsia" w:ascii="仿宋_GB2312" w:hAnsi="仿宋_GB2312" w:eastAsia="仿宋_GB2312" w:cs="仿宋_GB2312"/>
          <w:color w:val="auto"/>
          <w:sz w:val="32"/>
          <w:szCs w:val="32"/>
          <w:highlight w:val="none"/>
          <w:lang w:eastAsia="zh-CN"/>
        </w:rPr>
        <w:t>除即时告知的外，中国人民银行广西壮族自治区分行</w:t>
      </w:r>
      <w:r>
        <w:rPr>
          <w:rFonts w:hint="eastAsia" w:ascii="仿宋_GB2312" w:hAnsi="仿宋_GB2312" w:eastAsia="仿宋_GB2312" w:cs="仿宋_GB2312"/>
          <w:color w:val="auto"/>
          <w:sz w:val="32"/>
          <w:szCs w:val="32"/>
          <w:highlight w:val="none"/>
        </w:rPr>
        <w:t>自相关文书作出之日起5个工作日内送达当事人。</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）中国人民银行</w:t>
      </w:r>
      <w:r>
        <w:rPr>
          <w:rFonts w:hint="eastAsia" w:ascii="楷体_GB2312" w:hAnsi="楷体_GB2312" w:eastAsia="楷体_GB2312" w:cs="楷体_GB2312"/>
          <w:color w:val="auto"/>
          <w:sz w:val="32"/>
          <w:szCs w:val="32"/>
          <w:highlight w:val="none"/>
          <w:lang w:eastAsia="zh-CN"/>
        </w:rPr>
        <w:t>广西壮族自治区分行初审。</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非银行支付机构申请合并的，中国人民银行广西壮族自治区分行自受理申请之日起初步审查，涉及跨省、自治区、直辖市合并的，向被合并主体住所所在地中国人民银行分支机构征求意见。中国人民银行广西壮族自治区分行</w:t>
      </w:r>
      <w:r>
        <w:rPr>
          <w:rFonts w:hint="eastAsia" w:ascii="仿宋_GB2312" w:hAnsi="仿宋_GB2312" w:eastAsia="仿宋_GB2312" w:cs="仿宋_GB2312"/>
          <w:color w:val="auto"/>
          <w:sz w:val="32"/>
          <w:szCs w:val="32"/>
          <w:highlight w:val="none"/>
        </w:rPr>
        <w:t>结合材料审核</w:t>
      </w:r>
      <w:r>
        <w:rPr>
          <w:rFonts w:hint="eastAsia" w:ascii="仿宋_GB2312" w:hAnsi="仿宋_GB2312" w:eastAsia="仿宋_GB2312" w:cs="仿宋_GB2312"/>
          <w:color w:val="auto"/>
          <w:sz w:val="32"/>
          <w:szCs w:val="32"/>
          <w:highlight w:val="none"/>
          <w:lang w:eastAsia="zh-CN"/>
        </w:rPr>
        <w:t>、征求意见等情况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将申请材料和初步审查意见报中国人民银行。</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非银行支付机构申请分立的，中国人民银行广西壮族自治区分行自受理申请之日起初步审查，涉及跨省、自治区、直辖市分立的，向原非银行支付机构住所所在地中国人民银行的分支机构征求意见。中国人民银行广西壮族自治区分行</w:t>
      </w:r>
      <w:r>
        <w:rPr>
          <w:rFonts w:hint="eastAsia" w:ascii="仿宋_GB2312" w:hAnsi="仿宋_GB2312" w:eastAsia="仿宋_GB2312" w:cs="仿宋_GB2312"/>
          <w:color w:val="auto"/>
          <w:sz w:val="32"/>
          <w:szCs w:val="32"/>
          <w:highlight w:val="none"/>
        </w:rPr>
        <w:t>结合材料审核</w:t>
      </w:r>
      <w:r>
        <w:rPr>
          <w:rFonts w:hint="eastAsia" w:ascii="仿宋_GB2312" w:hAnsi="仿宋_GB2312" w:eastAsia="仿宋_GB2312" w:cs="仿宋_GB2312"/>
          <w:color w:val="auto"/>
          <w:sz w:val="32"/>
          <w:szCs w:val="32"/>
          <w:highlight w:val="none"/>
          <w:lang w:eastAsia="zh-CN"/>
        </w:rPr>
        <w:t>、征求意见等情况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en-US" w:eastAsia="zh-CN"/>
        </w:rPr>
        <w:t>变更</w:t>
      </w:r>
      <w:r>
        <w:rPr>
          <w:rFonts w:hint="eastAsia" w:ascii="仿宋_GB2312" w:hAnsi="仿宋_GB2312" w:eastAsia="仿宋_GB2312" w:cs="仿宋_GB2312"/>
          <w:color w:val="auto"/>
          <w:sz w:val="32"/>
          <w:szCs w:val="32"/>
          <w:highlight w:val="none"/>
          <w:lang w:val="en-US" w:eastAsia="zh-CN"/>
        </w:rPr>
        <w:t>申请材料</w:t>
      </w:r>
      <w:r>
        <w:rPr>
          <w:rFonts w:hint="eastAsia" w:ascii="仿宋_GB2312" w:hAnsi="仿宋_GB2312" w:eastAsia="仿宋_GB2312" w:cs="仿宋_GB2312"/>
          <w:color w:val="auto"/>
          <w:sz w:val="32"/>
          <w:szCs w:val="32"/>
          <w:highlight w:val="none"/>
          <w:lang w:val="en-US" w:eastAsia="zh-CN"/>
        </w:rPr>
        <w:t>、行政许可受理通知书</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highlight w:val="none"/>
          <w:lang w:val="en-US" w:eastAsia="zh-CN"/>
        </w:rPr>
        <w:t>初步审查意见报中国人民银行。</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中国人民银行广西壮族自治区分行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办理时限</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人民银行自中国人民银行广西壮族自治区分行受理之日起3个月内作出批准或者不予批准的决定。其中，《中国人民银行行政许可实施办法》（中国人民银行令〔2020〕第1号发布）第三十三条规定的相关程序不计入时限。</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审批结果和送达</w:t>
      </w:r>
    </w:p>
    <w:p>
      <w:pPr>
        <w:pStyle w:val="3"/>
        <w:spacing w:beforeLines="0" w:after="0" w:line="560" w:lineRule="exact"/>
        <w:ind w:firstLine="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人民银行根据审批结果作出行政许可决定，准予许可的，出具准予行政许可决定书并予以公告；不予许可的，出具不予行政许可决定书。中国人民银行广西壮族自治区分行根据行政许可决定将准予行政许可决定书或不予行政许可决定书送达申请人。</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收费依据及标准</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不收费。</w:t>
      </w:r>
    </w:p>
    <w:p>
      <w:pPr>
        <w:numPr>
          <w:ilvl w:val="0"/>
          <w:numId w:val="1"/>
        </w:numPr>
        <w:spacing w:beforeLines="0" w:afterLines="0" w:line="560" w:lineRule="exact"/>
        <w:ind w:firstLine="0" w:firstLineChars="200"/>
        <w:rPr>
          <w:rFonts w:hint="eastAsia" w:ascii="黑体" w:hAnsi="黑体" w:eastAsia="黑体"/>
          <w:color w:val="auto"/>
          <w:sz w:val="32"/>
          <w:szCs w:val="32"/>
          <w:highlight w:val="none"/>
        </w:rPr>
      </w:pPr>
      <w:r>
        <w:rPr>
          <w:rFonts w:hint="eastAsia" w:ascii="黑体" w:hAnsi="黑体" w:eastAsia="黑体" w:cs="黑体"/>
          <w:color w:val="auto"/>
          <w:sz w:val="32"/>
          <w:szCs w:val="32"/>
          <w:highlight w:val="none"/>
        </w:rPr>
        <w:t>行政相对人权利和义务</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仿宋_GB2312" w:eastAsia="仿宋_GB2312" w:cs="仿宋_GB2312"/>
          <w:color w:val="auto"/>
          <w:sz w:val="32"/>
          <w:szCs w:val="32"/>
          <w:highlight w:val="none"/>
        </w:rPr>
        <w:t>1.依法取得行政许可的平等权利。</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仿宋_GB2312" w:eastAsia="仿宋_GB2312" w:cs="仿宋_GB2312"/>
          <w:color w:val="auto"/>
          <w:sz w:val="32"/>
          <w:szCs w:val="32"/>
          <w:highlight w:val="none"/>
        </w:rPr>
        <w:t>2.依法申请行政复议和行政诉讼的权利。</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仿宋_GB2312" w:eastAsia="仿宋_GB2312" w:cs="仿宋_GB2312"/>
          <w:color w:val="auto"/>
          <w:sz w:val="32"/>
          <w:szCs w:val="32"/>
          <w:highlight w:val="none"/>
        </w:rPr>
        <w:t>2.配合人民银行工作人员做好材料签收交接手续；</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color w:val="auto"/>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olor w:val="auto"/>
          <w:sz w:val="32"/>
          <w:szCs w:val="32"/>
        </w:rPr>
        <w:t>咨询</w:t>
      </w:r>
      <w:r>
        <w:rPr>
          <w:rFonts w:hint="eastAsia" w:ascii="黑体" w:hAnsi="黑体" w:eastAsia="黑体" w:cs="黑体"/>
          <w:color w:val="auto"/>
          <w:sz w:val="32"/>
          <w:szCs w:val="32"/>
          <w:highlight w:val="none"/>
          <w:lang w:val="en-US" w:eastAsia="zh-CN"/>
        </w:rPr>
        <w:t>途径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eastAsia="zh-CN"/>
        </w:rPr>
        <w:t>广西壮族自治区分行</w:t>
      </w:r>
      <w:r>
        <w:rPr>
          <w:rFonts w:hint="eastAsia" w:ascii="仿宋_GB2312" w:hAnsi="仿宋_GB2312" w:eastAsia="仿宋_GB2312" w:cs="仿宋_GB2312"/>
          <w:color w:val="auto"/>
          <w:sz w:val="32"/>
          <w:szCs w:val="32"/>
        </w:rPr>
        <w:t>支付结算部门，联系电话：</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lang w:val="en-US" w:eastAsia="zh-CN"/>
        </w:rPr>
        <w:t>771-6111430</w:t>
      </w:r>
      <w:r>
        <w:rPr>
          <w:rFonts w:hint="eastAsia" w:ascii="仿宋_GB2312" w:hAnsi="仿宋_GB2312" w:eastAsia="仿宋_GB2312" w:cs="仿宋_GB2312"/>
          <w:color w:val="auto"/>
          <w:sz w:val="32"/>
          <w:szCs w:val="32"/>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监督投诉渠道</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办公地址和时间</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办公地址：</w:t>
      </w:r>
      <w:r>
        <w:rPr>
          <w:rFonts w:hint="eastAsia" w:ascii="仿宋_GB2312" w:hAnsi="仿宋_GB2312" w:eastAsia="仿宋_GB2312" w:cs="仿宋_GB2312"/>
          <w:color w:val="auto"/>
          <w:sz w:val="32"/>
          <w:szCs w:val="32"/>
          <w:highlight w:val="none"/>
          <w:lang w:val="en-US" w:eastAsia="zh-CN"/>
        </w:rPr>
        <w:t>南宁市青秀区滨湖路58号</w:t>
      </w:r>
      <w:r>
        <w:rPr>
          <w:rFonts w:hint="eastAsia" w:ascii="仿宋_GB2312" w:hAnsi="仿宋_GB2312" w:eastAsia="仿宋_GB2312" w:cs="仿宋_GB2312"/>
          <w:color w:val="auto"/>
          <w:sz w:val="32"/>
          <w:szCs w:val="32"/>
          <w:highlight w:val="none"/>
          <w:lang w:eastAsia="zh-CN"/>
        </w:rPr>
        <w:t>。</w:t>
      </w:r>
    </w:p>
    <w:p>
      <w:pPr>
        <w:wordWrap/>
        <w:adjustRightInd/>
        <w:snapToGrid/>
        <w:spacing w:beforeLines="0" w:afterLines="0" w:line="560" w:lineRule="exact"/>
        <w:ind w:firstLine="0" w:firstLineChars="200"/>
        <w:textAlignment w:val="auto"/>
        <w:rPr>
          <w:color w:val="auto"/>
          <w:sz w:val="32"/>
          <w:szCs w:val="32"/>
          <w:highlight w:val="none"/>
        </w:rPr>
      </w:pPr>
      <w:r>
        <w:rPr>
          <w:rFonts w:hint="eastAsia" w:ascii="仿宋_GB2312" w:hAnsi="仿宋_GB2312" w:eastAsia="仿宋_GB2312" w:cs="仿宋_GB2312"/>
          <w:color w:val="auto"/>
          <w:sz w:val="32"/>
          <w:szCs w:val="32"/>
          <w:highlight w:val="none"/>
        </w:rPr>
        <w:t>办公时间：工作日，8:30-12:00，14:30-1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p>
    <w:p>
      <w:pPr>
        <w:spacing w:beforeLines="0" w:afterLines="0" w:line="560" w:lineRule="exact"/>
        <w:ind w:firstLine="0" w:firstLineChars="200"/>
        <w:rPr>
          <w:color w:val="auto"/>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36075246">
    <w:nsid w:val="37CB5FEE"/>
    <w:multiLevelType w:val="singleLevel"/>
    <w:tmpl w:val="37CB5FEE"/>
    <w:lvl w:ilvl="0" w:tentative="1">
      <w:start w:val="1"/>
      <w:numFmt w:val="chineseCounting"/>
      <w:suff w:val="nothing"/>
      <w:lvlText w:val="%1、"/>
      <w:lvlJc w:val="left"/>
      <w:rPr>
        <w:rFonts w:hint="eastAsia"/>
      </w:rPr>
    </w:lvl>
  </w:abstractNum>
  <w:num w:numId="1">
    <w:abstractNumId w:val="9360752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6053D2B"/>
    <w:rsid w:val="0007733C"/>
    <w:rsid w:val="001235F1"/>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CA1622"/>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486BA9"/>
    <w:rsid w:val="05550DA4"/>
    <w:rsid w:val="058004AF"/>
    <w:rsid w:val="05A164D8"/>
    <w:rsid w:val="05AB439D"/>
    <w:rsid w:val="05BC4358"/>
    <w:rsid w:val="05C356F6"/>
    <w:rsid w:val="05E745D3"/>
    <w:rsid w:val="05EE699F"/>
    <w:rsid w:val="06013F0D"/>
    <w:rsid w:val="06044E8D"/>
    <w:rsid w:val="06154828"/>
    <w:rsid w:val="061E6339"/>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8797E"/>
    <w:rsid w:val="09CE0385"/>
    <w:rsid w:val="09FC6849"/>
    <w:rsid w:val="0A0129AC"/>
    <w:rsid w:val="0A1635B9"/>
    <w:rsid w:val="0A38638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BE5704"/>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BA04AB"/>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DE59BD"/>
    <w:rsid w:val="10E736FB"/>
    <w:rsid w:val="10FC7C33"/>
    <w:rsid w:val="110D6C2C"/>
    <w:rsid w:val="110E7433"/>
    <w:rsid w:val="11212CB2"/>
    <w:rsid w:val="11477C0E"/>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A3E4F"/>
    <w:rsid w:val="15EB146C"/>
    <w:rsid w:val="15EF49E5"/>
    <w:rsid w:val="15F80645"/>
    <w:rsid w:val="15F95E40"/>
    <w:rsid w:val="15FC65FA"/>
    <w:rsid w:val="16054269"/>
    <w:rsid w:val="16103CC1"/>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AE5EE6"/>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664E6B"/>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D08DB"/>
    <w:rsid w:val="215E59AC"/>
    <w:rsid w:val="216A69E1"/>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414D0"/>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930775"/>
    <w:rsid w:val="31DB1281"/>
    <w:rsid w:val="31E35756"/>
    <w:rsid w:val="31EA1A4C"/>
    <w:rsid w:val="31F06108"/>
    <w:rsid w:val="31F4409B"/>
    <w:rsid w:val="31F74241"/>
    <w:rsid w:val="322E7B74"/>
    <w:rsid w:val="323854A6"/>
    <w:rsid w:val="323C53E9"/>
    <w:rsid w:val="3243069E"/>
    <w:rsid w:val="32510909"/>
    <w:rsid w:val="326053E0"/>
    <w:rsid w:val="327C3F83"/>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306D50"/>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60541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55076"/>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053D2B"/>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B45578"/>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2444D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7D225C"/>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708D0"/>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1202B"/>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122A6"/>
    <w:rsid w:val="53446D96"/>
    <w:rsid w:val="535031A3"/>
    <w:rsid w:val="535413E9"/>
    <w:rsid w:val="535C3FDC"/>
    <w:rsid w:val="53734E37"/>
    <w:rsid w:val="53754D41"/>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E4458A"/>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83A04"/>
    <w:rsid w:val="5C4C4F7F"/>
    <w:rsid w:val="5C5F4AFD"/>
    <w:rsid w:val="5C9A1E13"/>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D558C"/>
    <w:rsid w:val="5F0E0525"/>
    <w:rsid w:val="5F197E7D"/>
    <w:rsid w:val="5F31176B"/>
    <w:rsid w:val="5F3E141C"/>
    <w:rsid w:val="5F417953"/>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8C187E"/>
    <w:rsid w:val="60AA6711"/>
    <w:rsid w:val="60AD1AA5"/>
    <w:rsid w:val="60B035DB"/>
    <w:rsid w:val="60BB6222"/>
    <w:rsid w:val="60C804D6"/>
    <w:rsid w:val="60D01808"/>
    <w:rsid w:val="60D77600"/>
    <w:rsid w:val="60E52A1C"/>
    <w:rsid w:val="60EC0314"/>
    <w:rsid w:val="60F5281A"/>
    <w:rsid w:val="610E3D49"/>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447CED"/>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33ABC"/>
    <w:rsid w:val="6BB5292C"/>
    <w:rsid w:val="6BB52E88"/>
    <w:rsid w:val="6BBA7A31"/>
    <w:rsid w:val="6BD03B6C"/>
    <w:rsid w:val="6BE275A5"/>
    <w:rsid w:val="6BF21BDD"/>
    <w:rsid w:val="6BFE5681"/>
    <w:rsid w:val="6C003719"/>
    <w:rsid w:val="6C084DC9"/>
    <w:rsid w:val="6C0E4559"/>
    <w:rsid w:val="6C351173"/>
    <w:rsid w:val="6C482D12"/>
    <w:rsid w:val="6C722724"/>
    <w:rsid w:val="6C7344D2"/>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4379C"/>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2746C"/>
    <w:rsid w:val="7EBE5F69"/>
    <w:rsid w:val="7ED46A74"/>
    <w:rsid w:val="7F0236EF"/>
    <w:rsid w:val="7F0B53F1"/>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Indent 3"/>
    <w:basedOn w:val="1"/>
    <w:uiPriority w:val="0"/>
    <w:pPr>
      <w:ind w:firstLine="640"/>
    </w:pPr>
    <w:rPr>
      <w:rFonts w:hint="eastAsia" w:ascii="仿宋_GB2312" w:eastAsia="仿宋_GB2312"/>
      <w:sz w:val="30"/>
      <w:szCs w:val="30"/>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2025-04-10T08:33:00Z</dcterms:created>
  <dc:creator>杨慧祺</dc:creator>
  <cp:lastModifiedBy>宋伊琳</cp:lastModifiedBy>
  <dcterms:modified xsi:type="dcterms:W3CDTF">2025-09-12T03:26:44Z</dcterms:modified>
  <dc:title>非银行支付机构合并或者分立审批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9FEF3C6F3EBE4538B541910307D02146</vt:lpwstr>
  </property>
</Properties>
</file>