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0" w:afterLines="0" w:line="560" w:lineRule="exact"/>
        <w:ind w:firstLine="0" w:firstLineChars="0"/>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非银行支付机构变更主要股东或者实际控制人审批</w:t>
      </w:r>
    </w:p>
    <w:p>
      <w:pPr>
        <w:numPr>
          <w:numId w:val="0"/>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行政许可事项</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rPr>
        <w:t>非银行支付机构变更主要股东或者实际控制人审批</w:t>
      </w:r>
      <w:r>
        <w:rPr>
          <w:rFonts w:hint="eastAsia" w:ascii="仿宋_GB2312" w:hAnsi="仿宋_GB2312" w:eastAsia="仿宋_GB2312" w:cs="仿宋_GB2312"/>
          <w:strike w:val="0"/>
          <w:dstrike w:val="0"/>
          <w:sz w:val="32"/>
          <w:szCs w:val="32"/>
          <w:highlight w:val="none"/>
          <w:lang w:val="en-US"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适用范围</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right="0" w:firstLine="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住所所在地位于广西壮族自治区</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的非银行支付机构</w:t>
      </w:r>
      <w:r>
        <w:rPr>
          <w:rFonts w:hint="eastAsia" w:ascii="仿宋_GB2312" w:hAnsi="仿宋_GB2312" w:eastAsia="仿宋_GB2312" w:cs="仿宋_GB2312"/>
          <w:sz w:val="32"/>
          <w:szCs w:val="32"/>
          <w:highlight w:val="none"/>
        </w:rPr>
        <w:t>变更主要股东或者实际控制人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rPr>
        <w:t>申请受理和初审办理</w:t>
      </w:r>
      <w:r>
        <w:rPr>
          <w:rFonts w:hint="eastAsia" w:ascii="仿宋_GB2312" w:hAnsi="仿宋_GB2312" w:eastAsia="仿宋_GB2312" w:cs="仿宋_GB2312"/>
          <w:sz w:val="32"/>
          <w:szCs w:val="32"/>
          <w:highlight w:val="none"/>
          <w:lang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审查类型</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前审后批</w:t>
      </w:r>
      <w:r>
        <w:rPr>
          <w:rFonts w:hint="eastAsia" w:ascii="仿宋_GB2312" w:hAnsi="仿宋_GB2312" w:eastAsia="仿宋_GB2312" w:cs="仿宋_GB2312"/>
          <w:color w:val="auto"/>
          <w:sz w:val="32"/>
          <w:szCs w:val="32"/>
          <w:highlight w:val="none"/>
          <w:lang w:eastAsia="zh-CN"/>
        </w:rPr>
        <w:t>。</w:t>
      </w:r>
    </w:p>
    <w:p>
      <w:pPr>
        <w:numPr>
          <w:ilvl w:val="0"/>
          <w:numId w:val="1"/>
        </w:numPr>
        <w:wordWrap/>
        <w:spacing w:beforeLines="0" w:afterLines="0" w:line="560" w:lineRule="exact"/>
        <w:ind w:firstLine="0" w:firstLineChars="200"/>
        <w:rPr>
          <w:rFonts w:hint="eastAsia" w:ascii="黑体" w:hAnsi="黑体" w:eastAsia="黑体" w:cs="黑体"/>
          <w:bCs w:val="0"/>
          <w:sz w:val="32"/>
          <w:szCs w:val="32"/>
        </w:rPr>
      </w:pPr>
      <w:r>
        <w:rPr>
          <w:rFonts w:hint="eastAsia" w:ascii="黑体" w:hAnsi="黑体" w:eastAsia="黑体" w:cs="黑体"/>
          <w:bCs/>
          <w:sz w:val="32"/>
          <w:szCs w:val="32"/>
        </w:rPr>
        <w:t>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wordWrap/>
        <w:spacing w:beforeLines="0" w:afterLines="0" w:line="560" w:lineRule="exact"/>
        <w:ind w:firstLine="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（二）《中华人民共和国行政许可法》</w:t>
      </w:r>
      <w:r>
        <w:rPr>
          <w:rFonts w:hint="eastAsia" w:ascii="仿宋_GB2312" w:hAnsi="仿宋_GB2312" w:eastAsia="仿宋_GB2312" w:cs="仿宋_GB2312"/>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ordWrap/>
        <w:spacing w:beforeLines="0" w:afterLines="0" w:line="560" w:lineRule="exact"/>
        <w:ind w:firstLine="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leftChars="0" w:right="0" w:firstLine="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受理机构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审核机构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中国人民银行广西壮族自治区分行初审、中国人民银行复审。</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决定机构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eastAsia="zh-CN"/>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数量限制</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无数量限制。</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行政许可条件</w:t>
      </w:r>
    </w:p>
    <w:p>
      <w:pPr>
        <w:spacing w:before="0" w:beforeLines="0" w:after="0" w:afterLines="0" w:line="560" w:lineRule="exact"/>
        <w:ind w:firstLine="0" w:firstLineChars="200"/>
        <w:rPr>
          <w:rFonts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（一）申请人条件</w:t>
      </w:r>
      <w:r>
        <w:rPr>
          <w:rFonts w:hint="eastAsia" w:ascii="楷体_GB2312" w:hAnsi="楷体_GB2312" w:eastAsia="楷体_GB2312" w:cs="楷体_GB2312"/>
          <w:sz w:val="32"/>
          <w:szCs w:val="32"/>
          <w:highlight w:val="none"/>
          <w:lang w:eastAsia="zh-CN"/>
        </w:rPr>
        <w:t>。</w:t>
      </w:r>
    </w:p>
    <w:p>
      <w:pPr>
        <w:pStyle w:val="7"/>
        <w:widowControl/>
        <w:spacing w:before="0" w:beforeLines="0" w:beforeAutospacing="0" w:after="0" w:afterLines="0" w:afterAutospacing="0" w:line="560" w:lineRule="exact"/>
        <w:ind w:firstLine="0" w:firstLineChars="200"/>
        <w:jc w:val="both"/>
        <w:rPr>
          <w:rFonts w:ascii="仿宋_GB2312" w:hAnsi="仿宋_GB2312" w:eastAsia="仿宋_GB2312" w:cs="仿宋_GB2312"/>
          <w:sz w:val="32"/>
          <w:szCs w:val="32"/>
          <w:highlight w:val="none"/>
        </w:rPr>
      </w:pPr>
      <w:r>
        <w:rPr>
          <w:rFonts w:ascii="仿宋_GB2312" w:hAnsi="仿宋_GB2312" w:eastAsia="仿宋_GB2312" w:cs="仿宋_GB2312"/>
          <w:kern w:val="2"/>
          <w:sz w:val="32"/>
          <w:szCs w:val="32"/>
          <w:highlight w:val="none"/>
        </w:rPr>
        <w:t>1.现有主要股东或者实际控制人持股或者实际控制已满3年。现有主要股东改变股权比例且未导致主要股东身份和实际控制人变更，现有</w:t>
      </w:r>
      <w:r>
        <w:rPr>
          <w:rFonts w:ascii="仿宋_GB2312" w:hAnsi="仿宋_GB2312" w:eastAsia="仿宋_GB2312" w:cs="仿宋_GB2312"/>
          <w:sz w:val="32"/>
          <w:szCs w:val="32"/>
          <w:highlight w:val="none"/>
        </w:rPr>
        <w:t>主要股东或者实际控制人死亡、丧失完全民事行为能力、执行法院判决、风险处置或者中国人民银行基于审慎监管原则同意再次变更等情形除外。</w:t>
      </w:r>
    </w:p>
    <w:p>
      <w:pPr>
        <w:pStyle w:val="7"/>
        <w:widowControl/>
        <w:spacing w:before="0" w:beforeLines="0" w:beforeAutospacing="0" w:after="0" w:afterLines="0" w:afterAutospacing="0" w:line="560" w:lineRule="exact"/>
        <w:ind w:firstLine="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2.拟变更后的主要股东或者实际控制人应当符合《条例》及《实施细则》有关规定。拟变更后的主要股东或者实际控制人为公司的，还应当具有稳定的盈利来源或者较好的可持续发展能力。</w:t>
      </w:r>
    </w:p>
    <w:p>
      <w:pPr>
        <w:pStyle w:val="7"/>
        <w:widowControl/>
        <w:spacing w:before="0" w:beforeLines="0" w:beforeAutospacing="0" w:after="0" w:afterLines="0" w:afterAutospacing="0" w:line="560" w:lineRule="exact"/>
        <w:ind w:firstLine="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3.最近3年无重大违法违规记录。</w:t>
      </w:r>
    </w:p>
    <w:p>
      <w:pPr>
        <w:pStyle w:val="7"/>
        <w:widowControl/>
        <w:spacing w:before="0" w:beforeLines="0" w:beforeAutospacing="0" w:after="0" w:afterLines="0" w:afterAutospacing="0" w:line="560" w:lineRule="exact"/>
        <w:ind w:firstLine="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4.诚信记录良好。</w:t>
      </w:r>
    </w:p>
    <w:p>
      <w:pPr>
        <w:pStyle w:val="7"/>
        <w:widowControl/>
        <w:spacing w:before="0" w:beforeLines="0" w:beforeAutospacing="0" w:after="0" w:afterLines="0" w:afterAutospacing="0" w:line="560" w:lineRule="exact"/>
        <w:ind w:firstLine="0" w:firstLineChars="20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5.备付金管理机制健全有效。</w:t>
      </w:r>
    </w:p>
    <w:p>
      <w:pPr>
        <w:pStyle w:val="6"/>
        <w:spacing w:before="0" w:beforeLines="0" w:after="0" w:afterLines="0" w:line="560" w:lineRule="exact"/>
        <w:ind w:firstLine="0" w:firstLineChars="200"/>
        <w:rPr>
          <w:rFonts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（二）符合如下条件的，准予行政许可</w:t>
      </w:r>
      <w:r>
        <w:rPr>
          <w:rFonts w:hint="eastAsia" w:ascii="楷体_GB2312" w:hAnsi="楷体_GB2312" w:eastAsia="楷体_GB2312" w:cs="楷体_GB2312"/>
          <w:sz w:val="32"/>
          <w:szCs w:val="32"/>
          <w:highlight w:val="none"/>
          <w:lang w:eastAsia="zh-CN"/>
        </w:rPr>
        <w:t>。</w:t>
      </w:r>
    </w:p>
    <w:p>
      <w:pPr>
        <w:pStyle w:val="6"/>
        <w:spacing w:before="0" w:beforeLines="0" w:after="0" w:afterLines="0" w:line="560" w:lineRule="exact"/>
        <w:ind w:firstLine="0" w:firstLineChars="200"/>
        <w:rPr>
          <w:rFonts w:hAnsi="仿宋_GB2312" w:cs="仿宋_GB2312"/>
          <w:sz w:val="32"/>
          <w:szCs w:val="32"/>
          <w:highlight w:val="none"/>
        </w:rPr>
      </w:pPr>
      <w:r>
        <w:rPr>
          <w:rFonts w:hAnsi="仿宋_GB2312" w:cs="仿宋_GB2312"/>
          <w:sz w:val="32"/>
          <w:szCs w:val="32"/>
          <w:highlight w:val="none"/>
        </w:rPr>
        <w:t>申请人满足《条例》《实施细则》相关规定，</w:t>
      </w:r>
      <w:r>
        <w:rPr>
          <w:rFonts w:hint="eastAsia" w:ascii="仿宋_GB2312" w:eastAsia="仿宋_GB2312" w:cs="仿宋_GB2312"/>
          <w:color w:val="auto"/>
          <w:sz w:val="32"/>
          <w:szCs w:val="32"/>
          <w:highlight w:val="none"/>
        </w:rPr>
        <w:t>提交的申请材料齐全、符合法定形式。</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（三）有如下情形的，不予</w:t>
      </w:r>
      <w:r>
        <w:rPr>
          <w:rFonts w:hint="eastAsia" w:ascii="楷体_GB2312" w:hAnsi="楷体_GB2312" w:eastAsia="楷体_GB2312" w:cs="楷体_GB2312"/>
          <w:sz w:val="32"/>
          <w:szCs w:val="32"/>
          <w:highlight w:val="none"/>
          <w:lang w:eastAsia="zh-CN"/>
        </w:rPr>
        <w:t>行政许可。</w:t>
      </w:r>
    </w:p>
    <w:p>
      <w:pPr>
        <w:pStyle w:val="6"/>
        <w:widowControl w:val="0"/>
        <w:wordWrap/>
        <w:adjustRightInd/>
        <w:snapToGrid/>
        <w:spacing w:before="0" w:beforeLines="0" w:after="0" w:afterLines="0" w:line="560" w:lineRule="exact"/>
        <w:ind w:left="0" w:leftChars="0" w:right="0" w:firstLine="0" w:firstLineChars="200"/>
        <w:jc w:val="both"/>
        <w:textAlignment w:val="auto"/>
        <w:outlineLvl w:val="9"/>
        <w:rPr>
          <w:rFonts w:hint="eastAsia" w:ascii="楷体_GB2312" w:hAnsi="楷体_GB2312" w:eastAsia="楷体_GB2312" w:cs="楷体_GB2312"/>
          <w:sz w:val="32"/>
          <w:szCs w:val="32"/>
          <w:highlight w:val="none"/>
        </w:rPr>
      </w:pPr>
      <w:r>
        <w:rPr>
          <w:rFonts w:hAnsi="仿宋_GB2312" w:cs="仿宋_GB2312"/>
          <w:sz w:val="32"/>
          <w:szCs w:val="32"/>
          <w:highlight w:val="none"/>
        </w:rPr>
        <w:t>申请人</w:t>
      </w:r>
      <w:r>
        <w:rPr>
          <w:rFonts w:hint="eastAsia" w:hAnsi="仿宋_GB2312" w:cs="仿宋_GB2312"/>
          <w:sz w:val="32"/>
          <w:szCs w:val="32"/>
          <w:highlight w:val="none"/>
          <w:lang w:eastAsia="zh-CN"/>
        </w:rPr>
        <w:t>不</w:t>
      </w:r>
      <w:r>
        <w:rPr>
          <w:rFonts w:hAnsi="仿宋_GB2312" w:cs="仿宋_GB2312"/>
          <w:sz w:val="32"/>
          <w:szCs w:val="32"/>
          <w:highlight w:val="none"/>
        </w:rPr>
        <w:t>满足《条例》《实施细则》相关规定，变更事项</w:t>
      </w:r>
      <w:r>
        <w:rPr>
          <w:rFonts w:hint="eastAsia" w:hAnsi="仿宋_GB2312" w:cs="仿宋_GB2312"/>
          <w:sz w:val="32"/>
          <w:szCs w:val="32"/>
          <w:highlight w:val="none"/>
          <w:lang w:eastAsia="zh-CN"/>
        </w:rPr>
        <w:t>不</w:t>
      </w:r>
      <w:r>
        <w:rPr>
          <w:rFonts w:hAnsi="仿宋_GB2312" w:cs="仿宋_GB2312"/>
          <w:sz w:val="32"/>
          <w:szCs w:val="32"/>
          <w:highlight w:val="none"/>
        </w:rPr>
        <w:t>符合法定条件、标准。</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申请材料</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（一）书面申请，载明申请人基本情况、变更原因、变更方案、变更前后主要股东或者实际控制人情况等。</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（二）申请人材料，包括：</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1.营业执照（副本）复印件和支付业务许可证复印件。</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2.无重大违法违规材料，含最近3年无重大违法违规记录承诺，以及其他能够说明没有因涉嫌重大违法违规正在被调查或者处于整改期间的相关材料。</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3.诚信记录良好材料，含企业征信报告，以及其他能够说明诚信记录良好的相关材料。</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4.备付金安全承诺。</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5.公司合规经营情况说明，含最近3年经营情况、被投诉举报情况、受到行政处罚或者被采取监管措施情况，以及上述相关问题的整改情况。</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6.申请人为国有企业、国有控股企业或者上市企业，变更涉及国有资产转让或者上市公司资产交易依法应当取得相关监管部门批准或者备案的，应当提供批准或者备案文件。</w:t>
      </w:r>
    </w:p>
    <w:p>
      <w:pPr>
        <w:widowControl/>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（三）股东会或者其他有权决定机构同意申请人变更的决议文件。</w:t>
      </w:r>
    </w:p>
    <w:p>
      <w:pPr>
        <w:widowControl w:val="0"/>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（四）拟变更后的主要股东或者实际控制人材料</w:t>
      </w:r>
      <w:r>
        <w:rPr>
          <w:rFonts w:hint="eastAsia" w:ascii="仿宋_GB2312" w:hAnsi="仿宋_GB2312" w:eastAsia="仿宋_GB2312" w:cs="仿宋_GB2312"/>
          <w:color w:val="auto"/>
          <w:kern w:val="0"/>
          <w:sz w:val="32"/>
          <w:szCs w:val="32"/>
          <w:highlight w:val="none"/>
          <w:lang w:val="en-US" w:eastAsia="zh-CN" w:bidi="ar-SA"/>
        </w:rPr>
        <w:t>。</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1.主要股东材料</w:t>
      </w:r>
      <w:r>
        <w:rPr>
          <w:rFonts w:hint="eastAsia" w:ascii="仿宋_GB2312" w:hAnsi="仿宋_GB2312" w:eastAsia="仿宋_GB2312" w:cs="仿宋_GB2312"/>
          <w:color w:val="auto"/>
          <w:kern w:val="0"/>
          <w:sz w:val="32"/>
          <w:szCs w:val="32"/>
          <w:highlight w:val="none"/>
          <w:lang w:val="en-US" w:eastAsia="zh-CN" w:bidi="ar-SA"/>
        </w:rPr>
        <w:t>。</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（1）申请人股东关联关系说明材料，以及股权结构和控制框架图。</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（2）营业执照（副本）复印件，或者有效身份证件复印件、个人履历。</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（3）财务状况和出资情况说明材料，含出资方资金来源说明，以及最近2年经会计师事务所审计的财务会计报告或者个人财务状况说明。</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（4）无重大违法违规材料，含最近3年无重大违法违规记录承诺，以及其他能够说明没有因涉嫌重大违法违规正在被调查或者处于整改期间的相关材料。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（5）诚信记录良好材料，含企业或者个人征信报告，以及其他能够说明诚信记录良好的相关材料。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（6）股权稳定性和补充资本承诺书，含主要股东3年内不再变更的承诺，以及非银行支付机构发生风险事件影响其正常运营、损害用户合法权益时，主要股东补充资本的承诺。</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主要股东为金融机构的，还应当提供金融业务许可证复印件、准予投资申请人的批复文件或者其他相关材料。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2.实际控制人材料</w:t>
      </w:r>
      <w:r>
        <w:rPr>
          <w:rFonts w:hint="eastAsia" w:ascii="仿宋_GB2312" w:hAnsi="仿宋_GB2312" w:eastAsia="仿宋_GB2312" w:cs="仿宋_GB2312"/>
          <w:color w:val="auto"/>
          <w:kern w:val="0"/>
          <w:sz w:val="32"/>
          <w:szCs w:val="32"/>
          <w:highlight w:val="none"/>
          <w:lang w:val="en-US" w:eastAsia="zh-CN" w:bidi="ar-SA"/>
        </w:rPr>
        <w:t>。</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（1）申请人实际控制权和控制关系说明材料。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（2）营业执照（副本）复印件，或者有效身份证件复印件、个人履历。</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（3）财务状况和出资情况说明材料，含出资方资金来源说明，以及最近2年经会计师事务所审计的财务会计报告或者个人财务状况说明。</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（4）无重大违法违规材料，含最近3年无重大违法违规记录承诺，以及其他能够说明没有因涉嫌重大违法违规正在被调查或者处于整改期间的相关材料。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（5）诚信记录良好材料，含企业或者个人征信报告，以及其他能够说明诚信记录良好的相关材料。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（6）股权稳定性承诺书，含实际控制人3年内不再变更的承诺。</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实际控制人为自然人的，还应当提交其实际控制的公司最近2年经营情况说明材料、最近2年经会计师事务所审计的财务会计报告或者其他相关材料。</w:t>
      </w:r>
    </w:p>
    <w:p>
      <w:pPr>
        <w:widowControl w:val="0"/>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上述</w:t>
      </w:r>
      <w:r>
        <w:rPr>
          <w:rFonts w:hint="default" w:ascii="仿宋_GB2312" w:hAnsi="仿宋_GB2312" w:eastAsia="仿宋_GB2312" w:cs="仿宋_GB2312"/>
          <w:color w:val="auto"/>
          <w:kern w:val="0"/>
          <w:sz w:val="32"/>
          <w:szCs w:val="32"/>
          <w:highlight w:val="none"/>
          <w:lang w:val="en-US" w:eastAsia="zh-CN" w:bidi="ar-SA"/>
        </w:rPr>
        <w:t>实际控制的公司，指申请人实际控制权和控制关系说明材料中，实际控制人控制的、除非银行支付机构之外财务状况良好的公司。</w:t>
      </w:r>
    </w:p>
    <w:p>
      <w:pPr>
        <w:widowControl w:val="0"/>
        <w:numPr>
          <w:ilvl w:val="0"/>
          <w:numId w:val="2"/>
        </w:numPr>
        <w:wordWrap/>
        <w:adjustRightInd/>
        <w:snapToGrid/>
        <w:spacing w:beforeLines="0" w:afterLines="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出资或者股权转让协议复印件、价格合理性说明和第三方出具的资产评估报告等相关材料。</w:t>
      </w:r>
    </w:p>
    <w:p>
      <w:pPr>
        <w:pStyle w:val="3"/>
        <w:numPr>
          <w:numId w:val="0"/>
        </w:numPr>
        <w:wordWrap/>
        <w:adjustRightInd/>
        <w:snapToGrid/>
        <w:spacing w:beforeLines="0" w:after="0" w:line="560" w:lineRule="exact"/>
        <w:ind w:firstLine="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（六）申请材料真实性声明。</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申请接收方式</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广西壮族自治区分行</w:t>
      </w:r>
      <w:r>
        <w:rPr>
          <w:rFonts w:hint="eastAsia" w:ascii="仿宋_GB2312" w:hAnsi="仿宋_GB2312" w:eastAsia="仿宋_GB2312" w:cs="仿宋_GB2312"/>
          <w:sz w:val="32"/>
          <w:szCs w:val="32"/>
          <w:highlight w:val="none"/>
        </w:rPr>
        <w:t>支付结算处</w:t>
      </w:r>
      <w:r>
        <w:rPr>
          <w:rFonts w:hint="eastAsia" w:ascii="仿宋_GB2312" w:hAnsi="仿宋_GB2312" w:eastAsia="仿宋_GB2312" w:cs="仿宋_GB2312"/>
          <w:sz w:val="32"/>
          <w:szCs w:val="32"/>
          <w:highlight w:val="none"/>
          <w:lang w:eastAsia="zh-CN"/>
        </w:rPr>
        <w:t>当面接收</w:t>
      </w:r>
      <w:r>
        <w:rPr>
          <w:rFonts w:hint="eastAsia" w:ascii="仿宋_GB2312" w:hAnsi="仿宋_GB2312" w:eastAsia="仿宋_GB2312" w:cs="仿宋_GB2312"/>
          <w:sz w:val="32"/>
          <w:szCs w:val="32"/>
          <w:highlight w:val="none"/>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办理基本流程和办理方式</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auto"/>
          <w:sz w:val="32"/>
          <w:szCs w:val="32"/>
          <w:highlight w:val="none"/>
        </w:rPr>
        <w:t>（一）接收申请材料</w:t>
      </w:r>
      <w:r>
        <w:rPr>
          <w:rFonts w:hint="eastAsia" w:ascii="楷体_GB2312" w:hAnsi="楷体_GB2312" w:eastAsia="楷体_GB2312" w:cs="楷体_GB2312"/>
          <w:color w:val="auto"/>
          <w:sz w:val="32"/>
          <w:szCs w:val="32"/>
          <w:highlight w:val="none"/>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1.中国人民银行</w:t>
      </w:r>
      <w:r>
        <w:rPr>
          <w:rFonts w:hint="eastAsia" w:ascii="仿宋_GB2312" w:hAnsi="仿宋_GB2312" w:eastAsia="仿宋_GB2312" w:cs="仿宋_GB2312"/>
          <w:color w:val="auto"/>
          <w:sz w:val="32"/>
          <w:szCs w:val="32"/>
          <w:highlight w:val="none"/>
          <w:lang w:val="en-US" w:eastAsia="zh-CN"/>
        </w:rPr>
        <w:t>广西壮族自治区分行</w:t>
      </w:r>
      <w:r>
        <w:rPr>
          <w:rFonts w:hint="eastAsia" w:ascii="仿宋_GB2312" w:hAnsi="仿宋_GB2312" w:eastAsia="仿宋_GB2312" w:cs="仿宋_GB2312"/>
          <w:color w:val="auto"/>
          <w:sz w:val="32"/>
          <w:szCs w:val="32"/>
          <w:highlight w:val="none"/>
        </w:rPr>
        <w:t>接收申请人提交的申请材料，并清点材料数量。</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2.清点无误的，中国人民银行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向申请人出具材料接收凭证。</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auto"/>
          <w:sz w:val="32"/>
          <w:szCs w:val="32"/>
          <w:highlight w:val="none"/>
        </w:rPr>
        <w:t>（二）出具受理意见</w:t>
      </w:r>
      <w:r>
        <w:rPr>
          <w:rFonts w:hint="eastAsia" w:ascii="楷体_GB2312" w:hAnsi="楷体_GB2312" w:eastAsia="楷体_GB2312" w:cs="楷体_GB2312"/>
          <w:color w:val="auto"/>
          <w:sz w:val="32"/>
          <w:szCs w:val="32"/>
          <w:highlight w:val="none"/>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中国人民银行</w:t>
      </w:r>
      <w:r>
        <w:rPr>
          <w:rFonts w:hint="eastAsia" w:ascii="仿宋_GB2312" w:hAnsi="仿宋_GB2312" w:eastAsia="仿宋_GB2312" w:cs="仿宋_GB2312"/>
          <w:color w:val="auto"/>
          <w:sz w:val="32"/>
          <w:szCs w:val="32"/>
          <w:highlight w:val="none"/>
          <w:lang w:val="en-US" w:eastAsia="zh-CN"/>
        </w:rPr>
        <w:t>广西壮族自治区分行</w:t>
      </w:r>
      <w:r>
        <w:rPr>
          <w:rFonts w:hint="eastAsia" w:ascii="仿宋_GB2312" w:hAnsi="仿宋_GB2312" w:eastAsia="仿宋_GB2312" w:cs="仿宋_GB2312"/>
          <w:color w:val="auto"/>
          <w:sz w:val="32"/>
          <w:szCs w:val="32"/>
          <w:highlight w:val="none"/>
        </w:rPr>
        <w:t>对申请材料进行初步审核，视以下不同情况出具受理意见：</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对于申请材料不齐全</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不符合法定形式或者存在错误不能当场更正的，中国人民银行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auto"/>
          <w:sz w:val="32"/>
          <w:szCs w:val="32"/>
          <w:highlight w:val="none"/>
          <w:lang w:eastAsia="zh-CN"/>
        </w:rPr>
        <w:t>广西壮族自治区分行</w:t>
      </w:r>
      <w:r>
        <w:rPr>
          <w:rFonts w:hint="eastAsia" w:ascii="仿宋_GB2312" w:hAnsi="仿宋_GB2312" w:eastAsia="仿宋_GB2312" w:cs="仿宋_GB2312"/>
          <w:color w:val="auto"/>
          <w:sz w:val="32"/>
          <w:szCs w:val="32"/>
          <w:highlight w:val="none"/>
        </w:rPr>
        <w:t>退回已经收到的全部申请材料</w:t>
      </w:r>
      <w:r>
        <w:rPr>
          <w:rFonts w:hint="eastAsia" w:ascii="仿宋_GB2312" w:hAnsi="仿宋_GB2312" w:eastAsia="仿宋_GB2312" w:cs="仿宋_GB2312"/>
          <w:color w:val="auto"/>
          <w:sz w:val="32"/>
          <w:szCs w:val="32"/>
          <w:highlight w:val="none"/>
          <w:lang w:eastAsia="zh-CN"/>
        </w:rPr>
        <w:t>。</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对于申请</w:t>
      </w:r>
      <w:r>
        <w:rPr>
          <w:rFonts w:hint="eastAsia" w:ascii="仿宋_GB2312" w:hAnsi="仿宋_GB2312" w:eastAsia="仿宋_GB2312" w:cs="仿宋_GB2312"/>
          <w:color w:val="auto"/>
          <w:sz w:val="32"/>
          <w:szCs w:val="32"/>
          <w:highlight w:val="none"/>
          <w:u w:val="none"/>
          <w:lang w:eastAsia="zh-CN"/>
        </w:rPr>
        <w:t>人申请事项不属于中国人民银行职权范围</w:t>
      </w:r>
      <w:r>
        <w:rPr>
          <w:rFonts w:hint="eastAsia" w:ascii="仿宋_GB2312" w:hAnsi="仿宋_GB2312" w:eastAsia="仿宋_GB2312" w:cs="仿宋_GB2312"/>
          <w:color w:val="auto"/>
          <w:sz w:val="32"/>
          <w:szCs w:val="32"/>
          <w:highlight w:val="none"/>
          <w:u w:val="none"/>
          <w:lang w:eastAsia="zh-CN"/>
        </w:rPr>
        <w:t>，或者</w:t>
      </w:r>
      <w:r>
        <w:rPr>
          <w:rFonts w:hint="eastAsia" w:ascii="仿宋_GB2312" w:hAnsi="仿宋_GB2312" w:eastAsia="仿宋_GB2312" w:cs="仿宋_GB2312"/>
          <w:color w:val="auto"/>
          <w:sz w:val="32"/>
          <w:szCs w:val="32"/>
          <w:highlight w:val="none"/>
          <w:lang w:eastAsia="zh-CN"/>
        </w:rPr>
        <w:t>提供的补正材料不齐全、不符合法定形式，补正后仍存在不符合受理条件的其他情形</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lang w:eastAsia="zh-CN"/>
        </w:rPr>
        <w:t>或者曾以欺骗、虚假出资、循环注资或者利用非自有资金出资等不正当手段申请或者参与申请变更非银行支付机构主要股东或者实际控制人，未获批准时间间隔不足1年的或者已获批准被撤销相关许可时间间隔不足</w:t>
      </w:r>
      <w:r>
        <w:rPr>
          <w:rFonts w:hint="eastAsia" w:ascii="仿宋_GB2312" w:hAnsi="仿宋_GB2312" w:eastAsia="仿宋_GB2312" w:cs="仿宋_GB2312"/>
          <w:color w:val="auto"/>
          <w:sz w:val="32"/>
          <w:szCs w:val="32"/>
          <w:highlight w:val="none"/>
          <w:u w:val="none"/>
          <w:lang w:val="en-US" w:eastAsia="zh-CN"/>
        </w:rPr>
        <w:t>3年的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eastAsia="zh-CN"/>
        </w:rPr>
        <w:t>中国人民银行广西壮族自治区分行不予受理，并出具加盖本行行政许可专用章的不予受理决定书，说明不予受理的理由和依据，退回已经收到的全部申请材料。</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highlight w:val="none"/>
        </w:rPr>
        <w:t>对于</w:t>
      </w:r>
      <w:r>
        <w:rPr>
          <w:rFonts w:hint="eastAsia" w:ascii="仿宋_GB2312" w:hAnsi="仿宋_GB2312" w:eastAsia="仿宋_GB2312" w:cs="仿宋_GB2312"/>
          <w:sz w:val="32"/>
          <w:szCs w:val="32"/>
          <w:highlight w:val="none"/>
          <w:lang w:eastAsia="zh-CN"/>
        </w:rPr>
        <w:t>申请事项属于中国人民银行职权范围，</w:t>
      </w:r>
      <w:r>
        <w:rPr>
          <w:rFonts w:hint="eastAsia" w:ascii="仿宋_GB2312" w:hAnsi="仿宋_GB2312" w:eastAsia="仿宋_GB2312" w:cs="仿宋_GB2312"/>
          <w:sz w:val="32"/>
          <w:szCs w:val="32"/>
          <w:highlight w:val="none"/>
        </w:rPr>
        <w:t>申请材料齐全、符合法定形式的，或者申请人按要求提交全部补正申请材料</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中国人民银行广西壮族自治区分行于收到申请材料或者全部补正申请材料之日起5个工作日内，出具加盖本行行政许可专用章并注明受理日期的行政许可受理通知书。</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对于受理、不予受理或者要求补正申请材料的通知书，</w:t>
      </w:r>
      <w:r>
        <w:rPr>
          <w:rFonts w:hint="eastAsia" w:ascii="仿宋_GB2312" w:hAnsi="仿宋_GB2312" w:eastAsia="仿宋_GB2312" w:cs="仿宋_GB2312"/>
          <w:color w:val="auto"/>
          <w:sz w:val="32"/>
          <w:szCs w:val="32"/>
          <w:highlight w:val="none"/>
          <w:lang w:eastAsia="zh-CN"/>
        </w:rPr>
        <w:t>除即时告知的外，中国人民银行广西壮族自治区分行</w:t>
      </w:r>
      <w:r>
        <w:rPr>
          <w:rFonts w:hint="eastAsia" w:ascii="仿宋_GB2312" w:hAnsi="仿宋_GB2312" w:eastAsia="仿宋_GB2312" w:cs="仿宋_GB2312"/>
          <w:color w:val="auto"/>
          <w:sz w:val="32"/>
          <w:szCs w:val="32"/>
          <w:highlight w:val="none"/>
        </w:rPr>
        <w:t>自相关文书作出之日起5个工作日内送达当事人。</w:t>
      </w:r>
    </w:p>
    <w:p>
      <w:pPr>
        <w:pStyle w:val="7"/>
        <w:widowControl w:val="0"/>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）中国人民银行</w:t>
      </w:r>
      <w:r>
        <w:rPr>
          <w:rFonts w:hint="eastAsia" w:ascii="楷体_GB2312" w:hAnsi="楷体_GB2312" w:eastAsia="楷体_GB2312" w:cs="楷体_GB2312"/>
          <w:color w:val="auto"/>
          <w:sz w:val="32"/>
          <w:szCs w:val="32"/>
          <w:highlight w:val="none"/>
          <w:lang w:eastAsia="zh-CN"/>
        </w:rPr>
        <w:t>广西壮族自治区分行初审。</w:t>
      </w:r>
    </w:p>
    <w:p>
      <w:pPr>
        <w:pStyle w:val="7"/>
        <w:widowControl/>
        <w:pBdr>
          <w:top w:val="none" w:color="auto" w:sz="0" w:space="0"/>
          <w:left w:val="none" w:color="auto" w:sz="0" w:space="0"/>
          <w:bottom w:val="none" w:color="auto" w:sz="0" w:space="0"/>
          <w:right w:val="none" w:color="auto" w:sz="0" w:space="0"/>
          <w:between w:val="none" w:color="auto" w:sz="0" w:space="0"/>
        </w:pBdr>
        <w:wordWrap/>
        <w:adjustRightInd/>
        <w:snapToGrid/>
        <w:spacing w:before="0" w:beforeLines="0" w:beforeAutospacing="0" w:after="0" w:afterLines="0" w:afterAutospacing="0" w:line="560" w:lineRule="exact"/>
        <w:ind w:left="0" w:firstLine="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中国人民银行广西壮族自治区分行自受理申请之日对申请材料进行初步审查，可以通过实地调查、面谈、征求有关部门意见等方式对申请材料进行核实。审查过程中，若发现申请人提交的申请材料存在实质性问题，可能影响作出行政许可决定的，中国人民银行广西壮族自治区分行可以要求申请人限期对申请材料进一步修改、完善，或者解释说明。申请人在合理期限内拒不修改、完善、解释说明，或者修改、完善、解释说明后仍存在实质性问题的，中国人民银行广西壮族自治区分行继续审查，不利后果由申请人承担。中国人民银行广西壮族自治区分行</w:t>
      </w:r>
      <w:r>
        <w:rPr>
          <w:rFonts w:hint="eastAsia" w:ascii="仿宋_GB2312" w:hAnsi="仿宋_GB2312" w:eastAsia="仿宋_GB2312" w:cs="仿宋_GB2312"/>
          <w:color w:val="auto"/>
          <w:sz w:val="32"/>
          <w:szCs w:val="32"/>
          <w:highlight w:val="none"/>
        </w:rPr>
        <w:t>结合材料审核</w:t>
      </w:r>
      <w:r>
        <w:rPr>
          <w:rFonts w:hint="eastAsia" w:ascii="仿宋_GB2312" w:hAnsi="仿宋_GB2312" w:eastAsia="仿宋_GB2312" w:cs="仿宋_GB2312"/>
          <w:color w:val="auto"/>
          <w:sz w:val="32"/>
          <w:szCs w:val="32"/>
          <w:highlight w:val="none"/>
          <w:lang w:eastAsia="zh-CN"/>
        </w:rPr>
        <w:t>等情况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en-US" w:eastAsia="zh-CN"/>
        </w:rPr>
        <w:t>变更</w:t>
      </w:r>
      <w:r>
        <w:rPr>
          <w:rFonts w:hint="eastAsia" w:ascii="仿宋_GB2312" w:hAnsi="仿宋_GB2312" w:eastAsia="仿宋_GB2312" w:cs="仿宋_GB2312"/>
          <w:color w:val="auto"/>
          <w:sz w:val="32"/>
          <w:szCs w:val="32"/>
          <w:highlight w:val="none"/>
          <w:lang w:val="en-US" w:eastAsia="zh-CN"/>
        </w:rPr>
        <w:t>申请材料</w:t>
      </w:r>
      <w:r>
        <w:rPr>
          <w:rFonts w:hint="eastAsia" w:ascii="仿宋_GB2312" w:hAnsi="仿宋_GB2312" w:eastAsia="仿宋_GB2312" w:cs="仿宋_GB2312"/>
          <w:color w:val="auto"/>
          <w:sz w:val="32"/>
          <w:szCs w:val="32"/>
          <w:highlight w:val="none"/>
          <w:lang w:val="en-US" w:eastAsia="zh-CN"/>
        </w:rPr>
        <w:t>、行政许可受理通知书</w:t>
      </w:r>
      <w:r>
        <w:rPr>
          <w:rFonts w:hint="eastAsia" w:ascii="仿宋_GB2312" w:hAnsi="仿宋_GB2312" w:eastAsia="仿宋_GB2312" w:cs="仿宋_GB2312"/>
          <w:sz w:val="32"/>
          <w:szCs w:val="32"/>
        </w:rPr>
        <w:t>和</w:t>
      </w:r>
      <w:r>
        <w:rPr>
          <w:rFonts w:hint="eastAsia" w:ascii="仿宋_GB2312" w:hAnsi="仿宋_GB2312" w:eastAsia="仿宋_GB2312" w:cs="仿宋_GB2312"/>
          <w:color w:val="auto"/>
          <w:sz w:val="32"/>
          <w:szCs w:val="32"/>
          <w:highlight w:val="none"/>
          <w:lang w:val="en-US" w:eastAsia="zh-CN"/>
        </w:rPr>
        <w:t>初步审查意见报中国人民银行。</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国人民银行自中国人民银行广西壮族自治区分行受理申请之日起3个月内作出批准或者不予批准的决定。其中，《中国人民银行行政许可实施办法》（中国人民银行令〔2020〕第1号发布）第三十三条规定的相关程序不计入时限。</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审批结果和送达</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中国人民银行根据审批结果作出行政许可决定，准予许可的，出具准予行政许可决定书并予以公告；不予许可的，出具不予行政许可决定书。中国人民银行广西壮族自治区分行根据行政许可决定将准予行政许可决定书或不予行政许可决定书送达申请人。</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收费依据及标准</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不收费。</w:t>
      </w:r>
    </w:p>
    <w:p>
      <w:pPr>
        <w:numPr>
          <w:ilvl w:val="0"/>
          <w:numId w:val="1"/>
        </w:numPr>
        <w:spacing w:beforeLines="0" w:afterLines="0" w:line="560" w:lineRule="exact"/>
        <w:ind w:firstLine="0" w:firstLineChars="200"/>
        <w:rPr>
          <w:rFonts w:hint="eastAsia" w:ascii="黑体" w:hAnsi="黑体" w:eastAsia="黑体"/>
          <w:sz w:val="32"/>
          <w:szCs w:val="32"/>
          <w:highlight w:val="none"/>
        </w:rPr>
      </w:pPr>
      <w:r>
        <w:rPr>
          <w:rFonts w:hint="eastAsia" w:ascii="黑体" w:hAnsi="黑体" w:eastAsia="黑体" w:cs="黑体"/>
          <w:color w:val="auto"/>
          <w:sz w:val="32"/>
          <w:szCs w:val="32"/>
          <w:highlight w:val="none"/>
        </w:rPr>
        <w:t>行政相对人权利和义务</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楷体_GB2312" w:eastAsia="楷体_GB2312" w:cs="楷体_GB2312"/>
          <w:color w:val="auto"/>
          <w:sz w:val="32"/>
          <w:szCs w:val="32"/>
          <w:highlight w:val="none"/>
        </w:rPr>
        <w:t>（一）依据《中华人民共和国行政许可法》等，申请人依法享有以下权利</w:t>
      </w:r>
      <w:r>
        <w:rPr>
          <w:rFonts w:hint="eastAsia" w:ascii="楷体_GB2312" w:eastAsia="楷体_GB2312" w:cs="楷体_GB2312"/>
          <w:color w:val="auto"/>
          <w:sz w:val="32"/>
          <w:szCs w:val="32"/>
          <w:highlight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1.依法取得行政许可的平等权利。</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2.依法申请行政复议和行政诉讼的权利。</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楷体_GB2312" w:eastAsia="楷体_GB2312" w:cs="楷体_GB2312"/>
          <w:color w:val="auto"/>
          <w:sz w:val="32"/>
          <w:szCs w:val="32"/>
          <w:highlight w:val="none"/>
        </w:rPr>
        <w:t>（二）依据《中华人民共和国行政许可法》等，申请人依法履行以下义务</w:t>
      </w:r>
      <w:r>
        <w:rPr>
          <w:rFonts w:hint="eastAsia" w:ascii="楷体_GB2312" w:eastAsia="楷体_GB2312" w:cs="楷体_GB2312"/>
          <w:color w:val="auto"/>
          <w:sz w:val="32"/>
          <w:szCs w:val="32"/>
          <w:highlight w:val="none"/>
          <w:lang w:eastAsia="zh-CN"/>
        </w:rPr>
        <w:t>。</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1.保证申请材料实质内容的真实、准确和完整，无虚假记载、误导性陈述或重大遗漏；</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2.配合人民银行工作人员做好材料签收交接手续；</w:t>
      </w:r>
    </w:p>
    <w:p>
      <w:pPr>
        <w:pStyle w:val="7"/>
        <w:widowControl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560" w:lineRule="exact"/>
        <w:ind w:left="0" w:firstLine="0" w:firstLineChars="200"/>
        <w:jc w:val="both"/>
        <w:rPr>
          <w:highlight w:val="none"/>
        </w:rPr>
      </w:pPr>
      <w:r>
        <w:rPr>
          <w:rFonts w:hint="eastAsia" w:ascii="仿宋_GB2312" w:eastAsia="仿宋_GB2312" w:cs="仿宋_GB2312"/>
          <w:color w:val="auto"/>
          <w:sz w:val="32"/>
          <w:szCs w:val="32"/>
          <w:highlight w:val="none"/>
        </w:rPr>
        <w:t>3.按要求及时补正申请材料。</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sz w:val="32"/>
          <w:szCs w:val="32"/>
        </w:rPr>
        <w:t>咨询</w:t>
      </w:r>
      <w:r>
        <w:rPr>
          <w:rFonts w:hint="eastAsia" w:ascii="黑体" w:hAnsi="黑体" w:eastAsia="黑体" w:cs="黑体"/>
          <w:sz w:val="32"/>
          <w:szCs w:val="32"/>
          <w:highlight w:val="none"/>
          <w:lang w:val="en-US" w:eastAsia="zh-CN"/>
        </w:rPr>
        <w:t>途径</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广西壮族自治区分行</w:t>
      </w:r>
      <w:r>
        <w:rPr>
          <w:rFonts w:hint="eastAsia" w:ascii="仿宋_GB2312" w:hAnsi="仿宋_GB2312" w:eastAsia="仿宋_GB2312" w:cs="仿宋_GB2312"/>
          <w:sz w:val="32"/>
          <w:szCs w:val="32"/>
        </w:rPr>
        <w:t>支付结算部门，联系电话：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771-6111430</w:t>
      </w:r>
      <w:r>
        <w:rPr>
          <w:rFonts w:hint="eastAsia" w:ascii="仿宋_GB2312" w:hAnsi="仿宋_GB2312" w:eastAsia="仿宋_GB2312" w:cs="仿宋_GB2312"/>
          <w:sz w:val="32"/>
          <w:szCs w:val="32"/>
        </w:rPr>
        <w:t>。</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监督投诉渠道</w:t>
      </w:r>
    </w:p>
    <w:p>
      <w:pPr>
        <w:widowControl w:val="0"/>
        <w:numPr>
          <w:numId w:val="0"/>
        </w:numPr>
        <w:wordWrap/>
        <w:adjustRightInd/>
        <w:snapToGrid/>
        <w:spacing w:beforeLines="0" w:afterLines="0" w:line="560" w:lineRule="exact"/>
        <w:ind w:firstLine="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信函投诉：广西南宁市青秀区滨湖路58号中国人民银行广西壮族自治区分行，0771-6111709，邮编530028。</w:t>
      </w:r>
    </w:p>
    <w:p>
      <w:pPr>
        <w:numPr>
          <w:ilvl w:val="0"/>
          <w:numId w:val="1"/>
        </w:numPr>
        <w:wordWrap/>
        <w:adjustRightInd/>
        <w:snapToGrid/>
        <w:spacing w:beforeLines="0" w:afterLines="0" w:line="560" w:lineRule="exact"/>
        <w:ind w:firstLine="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办公地址和时间</w:t>
      </w:r>
    </w:p>
    <w:p>
      <w:pPr>
        <w:wordWrap/>
        <w:adjustRightInd/>
        <w:snapToGrid/>
        <w:spacing w:beforeLines="0" w:afterLines="0" w:line="560" w:lineRule="exact"/>
        <w:ind w:firstLine="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办公地址：</w:t>
      </w:r>
      <w:r>
        <w:rPr>
          <w:rFonts w:hint="eastAsia" w:ascii="仿宋_GB2312" w:hAnsi="仿宋_GB2312" w:eastAsia="仿宋_GB2312" w:cs="仿宋_GB2312"/>
          <w:sz w:val="32"/>
          <w:szCs w:val="32"/>
          <w:highlight w:val="none"/>
          <w:lang w:eastAsia="zh-CN"/>
        </w:rPr>
        <w:t>南宁市青秀区滨湖路</w:t>
      </w:r>
      <w:r>
        <w:rPr>
          <w:rFonts w:hint="eastAsia" w:ascii="仿宋_GB2312" w:hAnsi="仿宋_GB2312" w:eastAsia="仿宋_GB2312" w:cs="仿宋_GB2312"/>
          <w:sz w:val="32"/>
          <w:szCs w:val="32"/>
          <w:highlight w:val="none"/>
          <w:lang w:val="en-US" w:eastAsia="zh-CN"/>
        </w:rPr>
        <w:t>58号</w:t>
      </w:r>
      <w:r>
        <w:rPr>
          <w:rFonts w:hint="eastAsia" w:ascii="仿宋_GB2312" w:hAnsi="仿宋_GB2312" w:eastAsia="仿宋_GB2312" w:cs="仿宋_GB2312"/>
          <w:sz w:val="32"/>
          <w:szCs w:val="32"/>
          <w:highlight w:val="none"/>
          <w:lang w:eastAsia="zh-CN"/>
        </w:rPr>
        <w:t>。</w:t>
      </w:r>
    </w:p>
    <w:p>
      <w:pPr>
        <w:wordWrap/>
        <w:adjustRightInd/>
        <w:snapToGrid/>
        <w:spacing w:beforeLines="0" w:afterLines="0" w:line="560" w:lineRule="exact"/>
        <w:ind w:firstLine="0" w:firstLineChars="200"/>
        <w:textAlignment w:val="auto"/>
        <w:rPr>
          <w:sz w:val="32"/>
          <w:szCs w:val="32"/>
          <w:highlight w:val="none"/>
        </w:rPr>
      </w:pPr>
      <w:r>
        <w:rPr>
          <w:rFonts w:hint="eastAsia" w:ascii="仿宋_GB2312" w:hAnsi="仿宋_GB2312" w:eastAsia="仿宋_GB2312" w:cs="仿宋_GB2312"/>
          <w:sz w:val="32"/>
          <w:szCs w:val="32"/>
          <w:highlight w:val="none"/>
        </w:rPr>
        <w:t>办公时间：工作日，8:30-12:00，14:30-1</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p>
      <w:pPr>
        <w:spacing w:beforeLines="0" w:afterLines="0" w:line="560" w:lineRule="exact"/>
        <w:ind w:firstLine="0" w:firstLineChars="200"/>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4858780">
    <w:nsid w:val="03DDAA9C"/>
    <w:multiLevelType w:val="singleLevel"/>
    <w:tmpl w:val="03DDAA9C"/>
    <w:lvl w:ilvl="0" w:tentative="1">
      <w:start w:val="5"/>
      <w:numFmt w:val="chineseCounting"/>
      <w:suff w:val="nothing"/>
      <w:lvlText w:val="（%1）"/>
      <w:lvlJc w:val="left"/>
      <w:rPr>
        <w:rFonts w:hint="eastAsia"/>
      </w:rPr>
    </w:lvl>
  </w:abstractNum>
  <w:abstractNum w:abstractNumId="936075246">
    <w:nsid w:val="37CB5FEE"/>
    <w:multiLevelType w:val="singleLevel"/>
    <w:tmpl w:val="37CB5FEE"/>
    <w:lvl w:ilvl="0" w:tentative="1">
      <w:start w:val="1"/>
      <w:numFmt w:val="chineseCounting"/>
      <w:suff w:val="nothing"/>
      <w:lvlText w:val="%1、"/>
      <w:lvlJc w:val="left"/>
      <w:rPr>
        <w:rFonts w:hint="eastAsia"/>
      </w:rPr>
    </w:lvl>
  </w:abstractNum>
  <w:num w:numId="1">
    <w:abstractNumId w:val="936075246"/>
  </w:num>
  <w:num w:numId="2">
    <w:abstractNumId w:val="648587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2D82335"/>
    <w:rsid w:val="0007733C"/>
    <w:rsid w:val="00225A0D"/>
    <w:rsid w:val="00247180"/>
    <w:rsid w:val="00315283"/>
    <w:rsid w:val="004229ED"/>
    <w:rsid w:val="00426837"/>
    <w:rsid w:val="00486860"/>
    <w:rsid w:val="004E2679"/>
    <w:rsid w:val="00561FA7"/>
    <w:rsid w:val="00562A58"/>
    <w:rsid w:val="0063225A"/>
    <w:rsid w:val="006F4BF0"/>
    <w:rsid w:val="00825F9C"/>
    <w:rsid w:val="00A95503"/>
    <w:rsid w:val="00AB5028"/>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43532"/>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BF06E0"/>
    <w:rsid w:val="04D20503"/>
    <w:rsid w:val="053472E6"/>
    <w:rsid w:val="05486BA9"/>
    <w:rsid w:val="05550DA4"/>
    <w:rsid w:val="058004AF"/>
    <w:rsid w:val="05A164D8"/>
    <w:rsid w:val="05AB439D"/>
    <w:rsid w:val="05BC4358"/>
    <w:rsid w:val="05C356F6"/>
    <w:rsid w:val="05E745D3"/>
    <w:rsid w:val="05EE699F"/>
    <w:rsid w:val="06013F0D"/>
    <w:rsid w:val="06044E8D"/>
    <w:rsid w:val="06154828"/>
    <w:rsid w:val="06307967"/>
    <w:rsid w:val="063A2011"/>
    <w:rsid w:val="06535974"/>
    <w:rsid w:val="065F41A9"/>
    <w:rsid w:val="0660544B"/>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8872DD"/>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805DF1"/>
    <w:rsid w:val="0C924E96"/>
    <w:rsid w:val="0C9268D7"/>
    <w:rsid w:val="0CC12E53"/>
    <w:rsid w:val="0CC60ED2"/>
    <w:rsid w:val="0CCD0D43"/>
    <w:rsid w:val="0CCE3E7D"/>
    <w:rsid w:val="0CE367E4"/>
    <w:rsid w:val="0CE463D7"/>
    <w:rsid w:val="0CEA5F0A"/>
    <w:rsid w:val="0CF05B81"/>
    <w:rsid w:val="0CF75281"/>
    <w:rsid w:val="0D1D7234"/>
    <w:rsid w:val="0D284122"/>
    <w:rsid w:val="0D7D4867"/>
    <w:rsid w:val="0D8350C8"/>
    <w:rsid w:val="0D992409"/>
    <w:rsid w:val="0DA316BA"/>
    <w:rsid w:val="0DA621A8"/>
    <w:rsid w:val="0DB87971"/>
    <w:rsid w:val="0DDF76F4"/>
    <w:rsid w:val="0DE31E19"/>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5E00D7"/>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3665E"/>
    <w:rsid w:val="15857008"/>
    <w:rsid w:val="15861695"/>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6052B"/>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BEC49DB"/>
    <w:rsid w:val="1C015145"/>
    <w:rsid w:val="1C110E70"/>
    <w:rsid w:val="1C1C4C5D"/>
    <w:rsid w:val="1C243BF3"/>
    <w:rsid w:val="1C274E32"/>
    <w:rsid w:val="1C3A7735"/>
    <w:rsid w:val="1C46513E"/>
    <w:rsid w:val="1C4C036A"/>
    <w:rsid w:val="1C5A6B07"/>
    <w:rsid w:val="1C604A85"/>
    <w:rsid w:val="1C7F4787"/>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9D5AD9"/>
    <w:rsid w:val="22AD3810"/>
    <w:rsid w:val="22BD0882"/>
    <w:rsid w:val="22DF4C0E"/>
    <w:rsid w:val="22E943B1"/>
    <w:rsid w:val="22F13368"/>
    <w:rsid w:val="23210DBA"/>
    <w:rsid w:val="23382D84"/>
    <w:rsid w:val="2341291F"/>
    <w:rsid w:val="23423336"/>
    <w:rsid w:val="234F3941"/>
    <w:rsid w:val="234F60A8"/>
    <w:rsid w:val="235B3FE8"/>
    <w:rsid w:val="237016C9"/>
    <w:rsid w:val="238E2E63"/>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4D6E9E"/>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66469"/>
    <w:rsid w:val="2C684199"/>
    <w:rsid w:val="2C703885"/>
    <w:rsid w:val="2C9102BD"/>
    <w:rsid w:val="2C967F29"/>
    <w:rsid w:val="2C9A2B39"/>
    <w:rsid w:val="2CC849C3"/>
    <w:rsid w:val="2CD34229"/>
    <w:rsid w:val="2CD50FB4"/>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2294D"/>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657066"/>
    <w:rsid w:val="31930775"/>
    <w:rsid w:val="31DB1281"/>
    <w:rsid w:val="31E35756"/>
    <w:rsid w:val="31EA1A4C"/>
    <w:rsid w:val="31F048DB"/>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3C24C22"/>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83E2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D41DDF"/>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664DDC"/>
    <w:rsid w:val="3E754F6D"/>
    <w:rsid w:val="3EF0422F"/>
    <w:rsid w:val="3EFA680B"/>
    <w:rsid w:val="3EFB4D7A"/>
    <w:rsid w:val="3F060334"/>
    <w:rsid w:val="3F145D4C"/>
    <w:rsid w:val="3F147C6B"/>
    <w:rsid w:val="3F197C7E"/>
    <w:rsid w:val="3F2B14B8"/>
    <w:rsid w:val="3F494B79"/>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9655A8"/>
    <w:rsid w:val="41C44C89"/>
    <w:rsid w:val="41CA27FD"/>
    <w:rsid w:val="41CE0077"/>
    <w:rsid w:val="41D6409F"/>
    <w:rsid w:val="41FB14D8"/>
    <w:rsid w:val="42066545"/>
    <w:rsid w:val="424130A7"/>
    <w:rsid w:val="4249469B"/>
    <w:rsid w:val="4254635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BF20A2"/>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4906AB"/>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4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13CD6"/>
    <w:rsid w:val="531657B3"/>
    <w:rsid w:val="531C4649"/>
    <w:rsid w:val="53233CF7"/>
    <w:rsid w:val="53446D96"/>
    <w:rsid w:val="535031A3"/>
    <w:rsid w:val="535413E9"/>
    <w:rsid w:val="535C3FDC"/>
    <w:rsid w:val="53734E37"/>
    <w:rsid w:val="53754D41"/>
    <w:rsid w:val="53AF1FD7"/>
    <w:rsid w:val="53C60ED9"/>
    <w:rsid w:val="53EA723E"/>
    <w:rsid w:val="53F90DE2"/>
    <w:rsid w:val="53FE54F0"/>
    <w:rsid w:val="5406359D"/>
    <w:rsid w:val="541976D9"/>
    <w:rsid w:val="54430EC9"/>
    <w:rsid w:val="544C39A8"/>
    <w:rsid w:val="54590F24"/>
    <w:rsid w:val="54656B86"/>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B7742C"/>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867220"/>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D11A7D"/>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C339D7"/>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5F4E72"/>
    <w:rsid w:val="728B63C2"/>
    <w:rsid w:val="728C6D2A"/>
    <w:rsid w:val="7293058D"/>
    <w:rsid w:val="72975F76"/>
    <w:rsid w:val="72984BE3"/>
    <w:rsid w:val="72B05249"/>
    <w:rsid w:val="72D02595"/>
    <w:rsid w:val="72D82335"/>
    <w:rsid w:val="72E457B3"/>
    <w:rsid w:val="72E74ADC"/>
    <w:rsid w:val="72EA36B2"/>
    <w:rsid w:val="72FF202A"/>
    <w:rsid w:val="73010397"/>
    <w:rsid w:val="731227C6"/>
    <w:rsid w:val="735C0C2F"/>
    <w:rsid w:val="735F155C"/>
    <w:rsid w:val="73605FC2"/>
    <w:rsid w:val="736406A0"/>
    <w:rsid w:val="73A103C3"/>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9B7337"/>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AA4BFD"/>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E71A67"/>
    <w:rsid w:val="7FF64246"/>
    <w:rsid w:val="7FFA5B0E"/>
    <w:rsid w:val="7FFA6280"/>
    <w:rsid w:val="7FFC0522"/>
    <w:rsid w:val="7FFD797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Indent 3"/>
    <w:basedOn w:val="1"/>
    <w:uiPriority w:val="0"/>
    <w:pPr>
      <w:ind w:firstLine="640"/>
    </w:pPr>
    <w:rPr>
      <w:rFonts w:hint="eastAsia" w:ascii="仿宋_GB2312" w:eastAsia="仿宋_GB2312"/>
      <w:sz w:val="30"/>
      <w:szCs w:val="30"/>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2025-04-09T09:37:00Z</dcterms:created>
  <dc:creator>杨慧祺</dc:creator>
  <cp:lastModifiedBy>宋伊琳</cp:lastModifiedBy>
  <dcterms:modified xsi:type="dcterms:W3CDTF">2025-09-12T03:26:30Z</dcterms:modified>
  <dc:title>非银行支付机构变更主要股东或者实际控制人审批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3384BAC461C649A19F973108CC526499</vt:lpwstr>
  </property>
</Properties>
</file>