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bookmarkStart w:id="0" w:name="_Toc17424"/>
      <w:bookmarkStart w:id="1" w:name="_Toc32070"/>
      <w:bookmarkStart w:id="2" w:name="_Toc19308"/>
      <w:bookmarkStart w:id="3" w:name="_Toc18188"/>
      <w:bookmarkStart w:id="4" w:name="_Toc26286"/>
      <w:bookmarkStart w:id="5" w:name="_Toc24910"/>
      <w:bookmarkStart w:id="6" w:name="_Toc20423"/>
      <w:bookmarkStart w:id="7" w:name="_Toc22972"/>
      <w:r>
        <w:rPr>
          <w:rFonts w:hint="eastAsia" w:ascii="黑体" w:hAnsi="黑体" w:eastAsia="黑体" w:cs="黑体"/>
          <w:sz w:val="48"/>
          <w:szCs w:val="48"/>
          <w:lang w:val="en-US" w:eastAsia="en-US" w:bidi="ar-SA"/>
        </w:rPr>
        <w:t>货物贸易外汇报告业务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Start w:id="8" w:name="_Toc9589"/>
      <w:bookmarkStart w:id="9" w:name="_Toc6738"/>
      <w:bookmarkStart w:id="10" w:name="_Toc6347"/>
      <w:bookmarkStart w:id="11" w:name="_Toc25388"/>
      <w:bookmarkStart w:id="12" w:name="_Toc10334"/>
      <w:bookmarkStart w:id="13" w:name="_Toc14745"/>
      <w:bookmarkStart w:id="14" w:name="_Toc31038"/>
      <w:bookmarkStart w:id="15" w:name="_Toc7969"/>
      <w:r>
        <w:rPr>
          <w:rFonts w:hint="eastAsia" w:ascii="黑体" w:hAnsi="黑体" w:eastAsia="黑体" w:cs="黑体"/>
          <w:b w:val="0"/>
          <w:bCs w:val="0"/>
          <w:color w:val="auto"/>
          <w:sz w:val="48"/>
          <w:szCs w:val="48"/>
        </w:rPr>
        <w:t>办理指南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left="0" w:lef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</w:rPr>
      </w:pPr>
      <w:bookmarkStart w:id="16" w:name="_Toc2839"/>
      <w:bookmarkStart w:id="17" w:name="_Toc23616"/>
      <w:bookmarkStart w:id="18" w:name="_Toc1080"/>
      <w:bookmarkStart w:id="19" w:name="_Toc5060"/>
      <w:bookmarkStart w:id="20" w:name="_Toc5280"/>
      <w:bookmarkStart w:id="21" w:name="_Toc18890"/>
      <w:bookmarkStart w:id="22" w:name="_Toc19880"/>
      <w:bookmarkStart w:id="23" w:name="_Toc26160"/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</w:rPr>
        <w:t>国家外汇管理局广西壮族自治区分局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pStyle w:val="22"/>
        <w:widowControl w:val="0"/>
        <w:wordWrap/>
        <w:autoSpaceDE w:val="0"/>
        <w:autoSpaceDN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</w:rPr>
      </w:pPr>
    </w:p>
    <w:p>
      <w:pPr>
        <w:pStyle w:val="2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lang w:eastAsia="zh-CN"/>
        </w:rPr>
      </w:pPr>
      <w:bookmarkStart w:id="24" w:name="_Toc14382"/>
      <w:bookmarkStart w:id="25" w:name="_Toc12841"/>
      <w:bookmarkStart w:id="26" w:name="_Toc19334"/>
      <w:bookmarkStart w:id="27" w:name="_Toc720"/>
      <w:bookmarkStart w:id="28" w:name="_Toc2862"/>
      <w:bookmarkStart w:id="29" w:name="_Toc17059"/>
      <w:bookmarkStart w:id="30" w:name="_Toc2609"/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 xml:space="preserve">    </w:t>
      </w:r>
      <w:bookmarkEnd w:id="24"/>
      <w:bookmarkEnd w:id="25"/>
      <w:bookmarkEnd w:id="26"/>
      <w:bookmarkEnd w:id="27"/>
      <w:bookmarkEnd w:id="28"/>
      <w:bookmarkEnd w:id="29"/>
      <w:bookmarkEnd w:id="30"/>
      <w:bookmarkStart w:id="31" w:name="_Toc17396"/>
      <w:bookmarkStart w:id="32" w:name="_Toc28419"/>
      <w:bookmarkStart w:id="33" w:name="_Toc14775"/>
      <w:r>
        <w:rPr>
          <w:rFonts w:hint="eastAsia"/>
          <w:color w:val="auto"/>
          <w:sz w:val="36"/>
          <w:szCs w:val="36"/>
          <w:lang w:eastAsia="zh-CN"/>
        </w:rPr>
        <w:t>一、</w:t>
      </w:r>
      <w:bookmarkEnd w:id="31"/>
      <w:bookmarkEnd w:id="32"/>
      <w:bookmarkEnd w:id="33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贸易信贷、融资、转口贸易收支业务报告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   （一）业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务流程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符合下列情况之一的业务，企业应当在货物进出口或收付汇业务实际发生之日起30日内，通过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国家外汇管理局数字外管平台（ http://zwfw.safe.gov.cn/asone/）向所在地外汇局报送对应的预计收付汇、进出口日期及关联企业交易等信息：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right="319" w:firstLine="6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1.A类企业30天以上（不含）的预收货款、预付货款；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1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2.A类企业90天以上（不含）的延期收款、延期付款；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12" w:firstLine="798" w:firstLineChars="266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3.A类企业90天以上（不含）的远期信用证（含展期）、海外代付等进口贸易融资；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4.B、C类企业在分类监管有效期内发生的预收货款、预付货款，以及30天以上（不含）的延期收款、延期付款；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5.A类企业同一笔离岸转手买卖收支日期间隔超过 90 天（不含）且先收后支项下收汇金额或先支后收项下付汇金额超过等值 50 万美元（不含）的业务。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（二）如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需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到外汇局现场办理上述报告，需提交的材料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right="415" w:firstLine="59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情况说明（说明未能及时通过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国家外汇管理局数字外管平台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网上报告的原因、需报告的事项和具体内容等）；</w:t>
      </w:r>
    </w:p>
    <w:p>
      <w:pPr>
        <w:pStyle w:val="6"/>
        <w:numPr>
          <w:ilvl w:val="0"/>
          <w:numId w:val="1"/>
        </w:numPr>
        <w:wordWrap/>
        <w:autoSpaceDE w:val="0"/>
        <w:autoSpaceDN w:val="0"/>
        <w:spacing w:before="0" w:beforeLines="0" w:afterLines="0" w:line="560" w:lineRule="exact"/>
        <w:ind w:left="820" w:right="3715" w:hanging="8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外汇局要求的相关证明材料。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560" w:lineRule="exact"/>
        <w:ind w:left="812" w:right="3715" w:hanging="8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（三）法规依据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10"/>
          <w:sz w:val="30"/>
          <w:szCs w:val="30"/>
        </w:rPr>
        <w:t>《中华人民共和国外汇管理条例》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pacing w:val="-19"/>
          <w:sz w:val="30"/>
          <w:szCs w:val="30"/>
        </w:rPr>
        <w:t xml:space="preserve">国务院 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>0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8</w:t>
      </w:r>
      <w:r>
        <w:rPr>
          <w:rFonts w:hint="eastAsia" w:ascii="仿宋" w:hAnsi="仿宋" w:eastAsia="仿宋" w:cs="仿宋"/>
          <w:color w:val="auto"/>
          <w:spacing w:val="-26"/>
          <w:sz w:val="30"/>
          <w:szCs w:val="30"/>
        </w:rPr>
        <w:t>年第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5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2号令）；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2.《国家外汇管理局关于印发货物贸易外汇管理法规有关问题的通知》（汇发〔2012〕38 号）；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3.《国家外汇管理局关于印发&lt;经常项目外汇业务指引（2020年版）&gt;的通知》（汇发〔2020〕14号）。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 w:right="0" w:hanging="45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（四）办理地点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：广西南市青秀区滨湖路</w:t>
      </w:r>
      <w:bookmarkStart w:id="40" w:name="_GoBack"/>
      <w:bookmarkEnd w:id="40"/>
      <w:r>
        <w:rPr>
          <w:rFonts w:hint="eastAsia" w:ascii="仿宋" w:hAnsi="仿宋" w:eastAsia="仿宋" w:cs="仿宋"/>
          <w:color w:val="auto"/>
          <w:sz w:val="30"/>
          <w:szCs w:val="30"/>
        </w:rPr>
        <w:t>58号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中国人民银行广西壮族自治区分行一楼8号柜台。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870" w:right="380" w:hanging="45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（五）办理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时间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：周一至周五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 w:right="380" w:hanging="45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上午：08:30-12:00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下午：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:30-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:30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val="en-US" w:eastAsia="zh-CN"/>
        </w:rPr>
        <w:t xml:space="preserve">   （六）</w:t>
      </w:r>
      <w: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eastAsia="zh-CN"/>
        </w:rPr>
        <w:t>联系电话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0771-6111201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</w:t>
      </w:r>
    </w:p>
    <w:p>
      <w:pPr>
        <w:pStyle w:val="4"/>
        <w:wordWrap/>
        <w:autoSpaceDE w:val="0"/>
        <w:autoSpaceDN w:val="0"/>
        <w:spacing w:line="560" w:lineRule="exact"/>
        <w:jc w:val="both"/>
        <w:textAlignment w:val="auto"/>
        <w:rPr>
          <w:rFonts w:hint="eastAsia"/>
          <w:color w:val="auto"/>
          <w:sz w:val="36"/>
          <w:szCs w:val="36"/>
        </w:rPr>
      </w:pPr>
      <w:bookmarkStart w:id="34" w:name="_Toc17758"/>
      <w:bookmarkStart w:id="35" w:name="_Toc29227"/>
      <w:r>
        <w:rPr>
          <w:rFonts w:hint="eastAsia"/>
          <w:color w:val="auto"/>
          <w:sz w:val="36"/>
          <w:szCs w:val="36"/>
          <w:lang w:val="en-US" w:eastAsia="zh-CN"/>
        </w:rPr>
        <w:t>二、</w:t>
      </w:r>
      <w:r>
        <w:rPr>
          <w:rFonts w:hint="eastAsia"/>
          <w:color w:val="auto"/>
          <w:sz w:val="36"/>
          <w:szCs w:val="36"/>
        </w:rPr>
        <w:t>差额</w:t>
      </w:r>
      <w:r>
        <w:rPr>
          <w:rFonts w:hint="eastAsia"/>
          <w:color w:val="auto"/>
          <w:sz w:val="36"/>
          <w:szCs w:val="36"/>
          <w:lang w:eastAsia="zh-CN"/>
        </w:rPr>
        <w:t>报告</w:t>
      </w:r>
      <w:bookmarkEnd w:id="34"/>
      <w:bookmarkEnd w:id="35"/>
    </w:p>
    <w:p>
      <w:pPr>
        <w:pStyle w:val="6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（一）业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务流程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</w:rPr>
        <w:t>对于单笔进口报关金额与相应付汇金额、单笔出口报关金额与</w:t>
      </w:r>
      <w:r>
        <w:rPr>
          <w:rFonts w:hint="eastAsia" w:ascii="仿宋" w:hAnsi="仿宋" w:eastAsia="仿宋" w:cs="仿宋"/>
          <w:color w:val="auto"/>
          <w:spacing w:val="-9"/>
          <w:sz w:val="30"/>
          <w:szCs w:val="30"/>
        </w:rPr>
        <w:t>相应收汇金额存在差额的，企业可根据该笔差额对其外汇收支与进</w:t>
      </w:r>
      <w:r>
        <w:rPr>
          <w:rFonts w:hint="eastAsia" w:ascii="仿宋" w:hAnsi="仿宋" w:eastAsia="仿宋" w:cs="仿宋"/>
          <w:color w:val="auto"/>
          <w:spacing w:val="-13"/>
          <w:sz w:val="30"/>
          <w:szCs w:val="30"/>
        </w:rPr>
        <w:t>出口匹配情况的影响程度，自主决定是否向所在地外汇局报告差额金额及差额原因等信息：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 w:right="319" w:firstLine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对于存在多收汇差额或多付汇差额的，企业可根据该笔</w:t>
      </w:r>
      <w:r>
        <w:rPr>
          <w:rFonts w:hint="eastAsia" w:ascii="仿宋" w:hAnsi="仿宋" w:eastAsia="仿宋" w:cs="仿宋"/>
          <w:color w:val="auto"/>
          <w:spacing w:val="-3"/>
          <w:sz w:val="30"/>
          <w:szCs w:val="30"/>
        </w:rPr>
        <w:t>差额对其外汇收支与进出口匹配情况的影响程度，在收款或付款之</w:t>
      </w:r>
      <w:r>
        <w:rPr>
          <w:rFonts w:hint="eastAsia" w:ascii="仿宋" w:hAnsi="仿宋" w:eastAsia="仿宋" w:cs="仿宋"/>
          <w:color w:val="auto"/>
          <w:spacing w:val="-28"/>
          <w:sz w:val="30"/>
          <w:szCs w:val="30"/>
        </w:rPr>
        <w:t xml:space="preserve">日起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30 天内通过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国家外汇管理局数字外管平台（ http://zwfw.safe.gov.cn/asone/）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向外汇局报告，或提交相关材料到所在地外汇局现场报告；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 w:right="409" w:firstLine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对于存在多出口差额或多进口差额的，企业可在出口或</w:t>
      </w:r>
      <w:r>
        <w:rPr>
          <w:rFonts w:hint="eastAsia" w:ascii="仿宋" w:hAnsi="仿宋" w:eastAsia="仿宋" w:cs="仿宋"/>
          <w:color w:val="auto"/>
          <w:spacing w:val="-13"/>
          <w:sz w:val="30"/>
          <w:szCs w:val="30"/>
        </w:rPr>
        <w:t xml:space="preserve">进口之日起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30 天内通过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国家外汇管理局数字外管平台（ http://zwfw.safe.gov.cn/asone/）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向所在地外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</w:rPr>
        <w:t>汇局报告，</w:t>
      </w:r>
      <w:r>
        <w:rPr>
          <w:rFonts w:hint="eastAsia" w:ascii="仿宋" w:hAnsi="仿宋" w:eastAsia="仿宋" w:cs="仿宋"/>
          <w:color w:val="auto"/>
          <w:spacing w:val="-5"/>
          <w:sz w:val="30"/>
          <w:szCs w:val="30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提交相关材料到所在地外汇局现场报告。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（二）需提交的材料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 w:right="409" w:firstLine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情况说明（说明未能及时通过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国家外汇管理局数字外管平台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网上报告的原因、需报告的事项和具体内容等）；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 w:right="3709" w:firstLine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外汇局要求的相关证明材料。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 w:right="3709" w:firstLine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（三）法规依据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10"/>
          <w:sz w:val="30"/>
          <w:szCs w:val="30"/>
        </w:rPr>
        <w:t>《中华人民共和国外汇管理条例》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pacing w:val="-19"/>
          <w:sz w:val="30"/>
          <w:szCs w:val="30"/>
        </w:rPr>
        <w:t xml:space="preserve">国务院 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2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>0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8</w:t>
      </w:r>
      <w:r>
        <w:rPr>
          <w:rFonts w:hint="eastAsia" w:ascii="仿宋" w:hAnsi="仿宋" w:eastAsia="仿宋" w:cs="仿宋"/>
          <w:color w:val="auto"/>
          <w:spacing w:val="-26"/>
          <w:sz w:val="30"/>
          <w:szCs w:val="30"/>
        </w:rPr>
        <w:t>年第</w:t>
      </w:r>
      <w:r>
        <w:rPr>
          <w:rFonts w:hint="eastAsia" w:ascii="仿宋" w:hAnsi="仿宋" w:eastAsia="仿宋" w:cs="仿宋"/>
          <w:color w:val="auto"/>
          <w:spacing w:val="1"/>
          <w:sz w:val="30"/>
          <w:szCs w:val="30"/>
        </w:rPr>
        <w:t>5</w:t>
      </w:r>
      <w:r>
        <w:rPr>
          <w:rFonts w:hint="eastAsia" w:ascii="仿宋" w:hAnsi="仿宋" w:eastAsia="仿宋" w:cs="仿宋"/>
          <w:color w:val="auto"/>
          <w:spacing w:val="-2"/>
          <w:sz w:val="30"/>
          <w:szCs w:val="30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2号令）；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560" w:lineRule="exact"/>
        <w:ind w:left="0" w:right="319" w:firstLine="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2.</w:t>
      </w:r>
      <w:r>
        <w:rPr>
          <w:rFonts w:hint="eastAsia" w:ascii="仿宋" w:hAnsi="仿宋" w:eastAsia="仿宋" w:cs="仿宋"/>
        </w:rPr>
        <w:t>《国家外汇管理局关于印发货物贸易外汇管理法规有关问题的通知》（汇发〔2012〕38 号）；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</w:rPr>
        <w:t xml:space="preserve">     </w:t>
      </w:r>
      <w:r>
        <w:rPr>
          <w:rFonts w:hint="eastAsia" w:ascii="仿宋" w:hAnsi="仿宋" w:eastAsia="仿宋" w:cs="仿宋"/>
          <w:lang w:val="en-US" w:eastAsia="zh-CN"/>
        </w:rPr>
        <w:t>3.</w:t>
      </w:r>
      <w:r>
        <w:rPr>
          <w:rFonts w:hint="eastAsia" w:ascii="仿宋" w:hAnsi="仿宋" w:eastAsia="仿宋" w:cs="仿宋"/>
        </w:rPr>
        <w:t>《国家外汇管理局关于印发&lt;经常项目外汇业务指引（2020年版）&gt;的通知》（汇发〔2020〕14号）。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（四）办理地点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：广西南市青秀区滨湖路58号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中国人民银行广西壮族自治区分行一楼8号柜台。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870" w:right="2800" w:hanging="45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（五）办理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时间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：周一至周五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 w:right="6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上午：08:30-12:00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下午：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:30-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:30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val="en-US" w:eastAsia="zh-CN"/>
        </w:rPr>
        <w:t xml:space="preserve">    （六）</w:t>
      </w:r>
      <w: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eastAsia="zh-CN"/>
        </w:rPr>
        <w:t>联系电话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0771-6111201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Style w:val="4"/>
        <w:wordWrap/>
        <w:autoSpaceDE w:val="0"/>
        <w:autoSpaceDN w:val="0"/>
        <w:spacing w:line="560" w:lineRule="exact"/>
        <w:jc w:val="both"/>
        <w:textAlignment w:val="auto"/>
        <w:rPr>
          <w:rFonts w:hint="eastAsia"/>
          <w:color w:val="auto"/>
          <w:sz w:val="36"/>
          <w:szCs w:val="36"/>
        </w:rPr>
      </w:pPr>
      <w:bookmarkStart w:id="36" w:name="_Toc24196"/>
      <w:bookmarkStart w:id="37" w:name="_Toc18824"/>
      <w:r>
        <w:rPr>
          <w:rFonts w:hint="eastAsia"/>
          <w:color w:val="auto"/>
          <w:sz w:val="36"/>
          <w:szCs w:val="36"/>
          <w:lang w:val="en-US" w:eastAsia="zh-CN"/>
        </w:rPr>
        <w:t>三、</w:t>
      </w:r>
      <w:r>
        <w:rPr>
          <w:rFonts w:hint="eastAsia"/>
          <w:color w:val="auto"/>
          <w:sz w:val="36"/>
          <w:szCs w:val="36"/>
        </w:rPr>
        <w:t>贸易主体不一致业务报告</w:t>
      </w:r>
      <w:bookmarkEnd w:id="36"/>
      <w:bookmarkEnd w:id="37"/>
    </w:p>
    <w:p>
      <w:pPr>
        <w:pStyle w:val="6"/>
        <w:wordWrap/>
        <w:autoSpaceDE w:val="0"/>
        <w:autoSpaceDN w:val="0"/>
        <w:spacing w:before="0" w:beforeLines="0" w:afterLines="0" w:line="560" w:lineRule="exact"/>
        <w:ind w:right="319" w:firstLine="592"/>
        <w:jc w:val="both"/>
        <w:textAlignment w:val="auto"/>
        <w:rPr>
          <w:rFonts w:hint="eastAsia" w:ascii="仿宋" w:hAnsi="仿宋" w:eastAsia="仿宋" w:cs="仿宋"/>
          <w:color w:val="auto"/>
          <w:spacing w:val="-44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-7"/>
          <w:sz w:val="30"/>
          <w:szCs w:val="30"/>
          <w:lang w:eastAsia="zh-CN"/>
        </w:rPr>
        <w:t>（一）业务流程</w:t>
      </w:r>
      <w:r>
        <w:rPr>
          <w:rFonts w:hint="eastAsia" w:ascii="仿宋" w:hAnsi="仿宋" w:eastAsia="仿宋" w:cs="仿宋"/>
          <w:color w:val="auto"/>
          <w:spacing w:val="-7"/>
          <w:sz w:val="30"/>
          <w:szCs w:val="30"/>
        </w:rPr>
        <w:t>：对于下述贸易主体不一致业务，企业可根据相关业</w:t>
      </w:r>
      <w:r>
        <w:rPr>
          <w:rFonts w:hint="eastAsia" w:ascii="仿宋" w:hAnsi="仿宋" w:eastAsia="仿宋" w:cs="仿宋"/>
          <w:color w:val="auto"/>
          <w:spacing w:val="-10"/>
          <w:sz w:val="30"/>
          <w:szCs w:val="30"/>
        </w:rPr>
        <w:t>务对其贸易外汇收支与进出口匹配情况的影响程度，自主决定是否</w:t>
      </w:r>
      <w:r>
        <w:rPr>
          <w:rFonts w:hint="eastAsia" w:ascii="仿宋" w:hAnsi="仿宋" w:eastAsia="仿宋" w:cs="仿宋"/>
          <w:color w:val="auto"/>
          <w:spacing w:val="-14"/>
          <w:sz w:val="30"/>
          <w:szCs w:val="30"/>
        </w:rPr>
        <w:t>向所在地外汇局报告相关信息，并办理收汇或进口数据的主体变更</w:t>
      </w:r>
      <w:r>
        <w:rPr>
          <w:rFonts w:hint="eastAsia" w:ascii="仿宋" w:hAnsi="仿宋" w:eastAsia="仿宋" w:cs="仿宋"/>
          <w:color w:val="auto"/>
          <w:spacing w:val="-44"/>
          <w:sz w:val="30"/>
          <w:szCs w:val="30"/>
        </w:rPr>
        <w:t>手续</w:t>
      </w:r>
      <w:r>
        <w:rPr>
          <w:rFonts w:hint="eastAsia" w:ascii="仿宋" w:hAnsi="仿宋" w:eastAsia="仿宋" w:cs="仿宋"/>
          <w:color w:val="auto"/>
          <w:spacing w:val="-44"/>
          <w:sz w:val="30"/>
          <w:szCs w:val="30"/>
          <w:lang w:eastAsia="zh-CN"/>
        </w:rPr>
        <w:t>。除以下情形外，</w:t>
      </w:r>
      <w:r>
        <w:rPr>
          <w:rFonts w:hint="eastAsia" w:ascii="仿宋" w:hAnsi="仿宋" w:eastAsia="仿宋" w:cs="仿宋"/>
          <w:color w:val="auto"/>
          <w:spacing w:val="-7"/>
          <w:sz w:val="30"/>
          <w:szCs w:val="30"/>
          <w:lang w:eastAsia="zh-CN"/>
        </w:rPr>
        <w:t>企业应按照“谁进口谁付汇、谁出口谁收汇”的原则办理货物贸易进出口及收付汇业务。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="0" w:beforeLines="0" w:afterLines="0" w:line="560" w:lineRule="exact"/>
        <w:ind w:left="212" w:leftChars="0" w:right="319" w:firstLine="597" w:firstLineChars="199"/>
        <w:jc w:val="both"/>
        <w:textAlignment w:val="auto"/>
        <w:rPr>
          <w:rFonts w:hint="eastAsia" w:ascii="仿宋" w:hAnsi="仿宋" w:eastAsia="仿宋" w:cs="仿宋"/>
          <w:color w:val="auto"/>
          <w:spacing w:val="-12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12"/>
          <w:sz w:val="30"/>
          <w:szCs w:val="30"/>
        </w:rPr>
        <w:t>因企业分立、合并等原因导致进出口与收付汇主体不一</w:t>
      </w:r>
      <w:r>
        <w:rPr>
          <w:rFonts w:hint="eastAsia" w:ascii="仿宋" w:hAnsi="仿宋" w:eastAsia="仿宋" w:cs="仿宋"/>
          <w:color w:val="auto"/>
          <w:spacing w:val="-12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sz w:val="30"/>
          <w:szCs w:val="30"/>
        </w:rPr>
        <w:t>致；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right="319" w:firstLine="59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捐赠进口项下进口与付汇主体不一致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2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经外汇局认定的其他进出口与收付汇主体不一致的情况。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需提交的资料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right="409" w:firstLine="6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对于需报告的，企业应提交下列材料到所在地外汇局现场报告：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right="319" w:firstLine="6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-7"/>
          <w:sz w:val="30"/>
          <w:szCs w:val="30"/>
        </w:rPr>
        <w:t>①情况说明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pacing w:val="-3"/>
          <w:sz w:val="30"/>
          <w:szCs w:val="30"/>
        </w:rPr>
        <w:t>说明贸易主体不一致的原因、需报告的收汇申报</w:t>
      </w:r>
      <w:r>
        <w:rPr>
          <w:rFonts w:hint="eastAsia" w:ascii="仿宋" w:hAnsi="仿宋" w:eastAsia="仿宋" w:cs="仿宋"/>
          <w:color w:val="auto"/>
          <w:spacing w:val="-9"/>
          <w:sz w:val="30"/>
          <w:szCs w:val="30"/>
        </w:rPr>
        <w:t>号或进口货物报关单号、相应的收汇金额或进口金额及其变更后的企业代码和名称、企业所属外汇局等）；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②出口合同或进口合同；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③收入申报单或进口货物报关单；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④捐赠协议（仅捐赠业务提供）；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right="249" w:firstLine="6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⑤相关部门出具的分立、合并证明文件（仅企业分立、合并的提供）；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⑥外汇局要求的其他材料。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right="409" w:firstLine="6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已报告的贸易主体不一致业务信息有误的，企业应当提交下列材料到所在地外汇局现场申请撤销变更：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①情况说明（说明撤销原因和原报告事项及具体内容等）；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820" w:right="4759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②外汇局要求的其他材料。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820" w:right="4759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（三）法规依据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 w:leftChars="0" w:firstLine="819" w:firstLineChars="273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《中华人民共和国外汇管理条例》（国务院2008年第532号令）；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150" w:righ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2.《国家外汇管理局关于印发货物贸易外汇管理法规有关问题的通知》（汇发〔2012〕38 号）；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150" w:right="0"/>
        <w:jc w:val="both"/>
        <w:textAlignment w:val="auto"/>
        <w:rPr>
          <w:rFonts w:hint="eastAsia" w:ascii="仿宋" w:hAnsi="仿宋" w:eastAsia="仿宋" w:cs="仿宋"/>
          <w:color w:val="auto"/>
          <w:spacing w:val="-8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3.《国家外汇管理局关于印发&lt;经常项目外汇业务指引（2020年版）&gt;的通知》（汇发〔2020〕14号）。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 w:right="0" w:firstLine="60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（四）办理地点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：广西南市青秀区滨湖路58号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中国人民银行广西壮族自治区分行一楼8号柜台。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870" w:right="820" w:hanging="45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（五）办理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时间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：周一至周五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 w:right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上午：08:30-12:00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下午：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14:30-17:30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eastAsia="zh-CN"/>
        </w:rPr>
        <w:t>（六）联系电话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0771-6111201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Style w:val="4"/>
        <w:wordWrap/>
        <w:autoSpaceDE w:val="0"/>
        <w:autoSpaceDN w:val="0"/>
        <w:spacing w:line="560" w:lineRule="exact"/>
        <w:jc w:val="both"/>
        <w:textAlignment w:val="auto"/>
        <w:rPr>
          <w:rFonts w:hint="eastAsia"/>
          <w:color w:val="auto"/>
          <w:sz w:val="36"/>
          <w:szCs w:val="36"/>
        </w:rPr>
      </w:pPr>
      <w:bookmarkStart w:id="38" w:name="_Toc28597"/>
      <w:bookmarkStart w:id="39" w:name="_Toc19807"/>
      <w:r>
        <w:rPr>
          <w:rFonts w:hint="eastAsia"/>
          <w:color w:val="auto"/>
          <w:sz w:val="36"/>
          <w:szCs w:val="36"/>
          <w:lang w:val="en-US" w:eastAsia="zh-CN"/>
        </w:rPr>
        <w:t xml:space="preserve">  四、</w:t>
      </w:r>
      <w:r>
        <w:rPr>
          <w:rFonts w:hint="eastAsia"/>
          <w:color w:val="auto"/>
          <w:sz w:val="36"/>
          <w:szCs w:val="36"/>
        </w:rPr>
        <w:t>其他特殊交易报告</w:t>
      </w:r>
      <w:bookmarkEnd w:id="38"/>
      <w:bookmarkEnd w:id="39"/>
    </w:p>
    <w:p>
      <w:pPr>
        <w:pStyle w:val="6"/>
        <w:wordWrap/>
        <w:autoSpaceDE w:val="0"/>
        <w:autoSpaceDN w:val="0"/>
        <w:spacing w:before="0" w:beforeLines="0" w:afterLines="0" w:line="560" w:lineRule="exact"/>
        <w:ind w:right="249" w:firstLine="59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（一）业务流程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：对于货物进出口与贸易收付款业务中发生的其他特殊交易，企业可根据相关业务对其贸易外汇收支与进出口匹配情况</w:t>
      </w:r>
      <w:r>
        <w:rPr>
          <w:rFonts w:hint="eastAsia" w:ascii="仿宋" w:hAnsi="仿宋" w:eastAsia="仿宋" w:cs="仿宋"/>
          <w:color w:val="auto"/>
          <w:spacing w:val="-7"/>
          <w:sz w:val="30"/>
          <w:szCs w:val="30"/>
        </w:rPr>
        <w:t>的影响程度，自主决定是否向所在地外汇局报告相关信息。对于需</w:t>
      </w:r>
      <w:r>
        <w:rPr>
          <w:rFonts w:hint="eastAsia" w:ascii="仿宋" w:hAnsi="仿宋" w:eastAsia="仿宋" w:cs="仿宋"/>
          <w:color w:val="auto"/>
          <w:spacing w:val="-11"/>
          <w:sz w:val="30"/>
          <w:szCs w:val="30"/>
        </w:rPr>
        <w:t>报告的，企业可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通过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国家外汇管理局数字外管平台（http://zwfw.safe.gov.cn/asone/）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</w:rPr>
        <w:t>向所在地外汇局报告，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到所在地外汇局现场报告。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1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（二）需提交的材料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right="319" w:firstLine="6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27"/>
          <w:sz w:val="30"/>
          <w:szCs w:val="30"/>
        </w:rPr>
        <w:t>情况说明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（需报告的事项和具体内容等）；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820" w:right="407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外汇局要求的相关证明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材料。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820" w:right="407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（三）法规依据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《中华人民共和国外汇管理条例》（国务院2008年第532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22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号令）；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2.《国家外汇管理局关于印发货物贸易外汇管理法规有关问题的通知》（汇发〔2012〕38 号）；</w:t>
      </w:r>
    </w:p>
    <w:p>
      <w:pPr>
        <w:pStyle w:val="6"/>
        <w:numPr>
          <w:ilvl w:val="0"/>
          <w:numId w:val="0"/>
        </w:numPr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3.《国家外汇管理局关于印发&lt;经常项目外汇业务指引（2020年版）&gt;的通知》（汇发〔2020〕14号）。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220" w:right="0" w:firstLine="602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（四）办理地点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：广西南市青秀区滨湖路58号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中国人民银行广西壮族自治区分行一楼8号柜台。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870" w:right="1040" w:hanging="452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（五）办理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时间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：周一至周五</w:t>
      </w: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 w:right="104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上午：08:30-12:00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下午：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14:30-17:30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87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-1"/>
          <w:sz w:val="30"/>
          <w:szCs w:val="30"/>
          <w:lang w:eastAsia="zh-CN"/>
        </w:rPr>
        <w:t>（六）联系电话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0771-6111201</w:t>
      </w:r>
    </w:p>
    <w:p>
      <w:pPr>
        <w:pStyle w:val="6"/>
        <w:wordWrap/>
        <w:autoSpaceDE w:val="0"/>
        <w:autoSpaceDN w:val="0"/>
        <w:spacing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pStyle w:val="6"/>
        <w:wordWrap/>
        <w:autoSpaceDE w:val="0"/>
        <w:autoSpaceDN w:val="0"/>
        <w:spacing w:before="0" w:beforeLines="0" w:afterLines="0" w:line="560" w:lineRule="exact"/>
        <w:ind w:left="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wordWrap/>
        <w:autoSpaceDE w:val="0"/>
        <w:autoSpaceDN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wordWrap/>
        <w:autoSpaceDE w:val="0"/>
        <w:autoSpaceDN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wordWrap/>
        <w:autoSpaceDE w:val="0"/>
        <w:autoSpaceDN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wordWrap/>
        <w:autoSpaceDE w:val="0"/>
        <w:autoSpaceDN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wordWrap/>
        <w:autoSpaceDE w:val="0"/>
        <w:autoSpaceDN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wordWrap/>
        <w:autoSpaceDE w:val="0"/>
        <w:autoSpaceDN w:val="0"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</w:p>
    <w:sectPr>
      <w:headerReference r:id="rId5" w:type="default"/>
      <w:footerReference r:id="rId6" w:type="default"/>
      <w:pgSz w:w="11910" w:h="16840"/>
      <w:pgMar w:top="1020" w:right="1040" w:bottom="280" w:left="104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590"/>
        <w:tab w:val="clear" w:pos="4153"/>
      </w:tabs>
    </w:pPr>
    <w:r>
      <w:rPr>
        <w:rFonts w:ascii="Noto Sans Mono CJK JP Regular" w:hAnsi="Noto Sans Mono CJK JP Regular" w:eastAsia="Noto Sans Mono CJK JP Regular" w:cs="Noto Sans Mono CJK JP Regular"/>
        <w:sz w:val="18"/>
        <w:szCs w:val="18"/>
        <w:lang w:val="en-US" w:eastAsia="en-US" w:bidi="ar-SA"/>
      </w:rP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Noto Sans Mono CJK JP Regular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2EDC0"/>
    <w:multiLevelType w:val="singleLevel"/>
    <w:tmpl w:val="5FE2EDC0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4YjIwYjI4ZmE4OWQ2YmE1MDViYjU3ZGNiYjhlODIifQ=="/>
  </w:docVars>
  <w:rsids>
    <w:rsidRoot w:val="00172A27"/>
    <w:rsid w:val="00331146"/>
    <w:rsid w:val="01AC4F16"/>
    <w:rsid w:val="024210F5"/>
    <w:rsid w:val="02C727A6"/>
    <w:rsid w:val="02C81B1F"/>
    <w:rsid w:val="031E2555"/>
    <w:rsid w:val="04402605"/>
    <w:rsid w:val="0492775B"/>
    <w:rsid w:val="050C5084"/>
    <w:rsid w:val="052C26C7"/>
    <w:rsid w:val="052D2987"/>
    <w:rsid w:val="058F4D3B"/>
    <w:rsid w:val="068C1188"/>
    <w:rsid w:val="06B6010F"/>
    <w:rsid w:val="072970B6"/>
    <w:rsid w:val="07B354B0"/>
    <w:rsid w:val="07BA4D07"/>
    <w:rsid w:val="08380F8C"/>
    <w:rsid w:val="08E35BA2"/>
    <w:rsid w:val="0976276B"/>
    <w:rsid w:val="097D1F08"/>
    <w:rsid w:val="0B6423BD"/>
    <w:rsid w:val="0B967818"/>
    <w:rsid w:val="0BA93E62"/>
    <w:rsid w:val="0C2F62A5"/>
    <w:rsid w:val="0D0E01FB"/>
    <w:rsid w:val="0E560192"/>
    <w:rsid w:val="0E5F3E90"/>
    <w:rsid w:val="0F0D7CC0"/>
    <w:rsid w:val="10A9489A"/>
    <w:rsid w:val="11214587"/>
    <w:rsid w:val="11876E1C"/>
    <w:rsid w:val="11DB222E"/>
    <w:rsid w:val="13811CFB"/>
    <w:rsid w:val="13CA7663"/>
    <w:rsid w:val="144C2BE1"/>
    <w:rsid w:val="14B40C17"/>
    <w:rsid w:val="167C3BE8"/>
    <w:rsid w:val="176F6841"/>
    <w:rsid w:val="19694CBC"/>
    <w:rsid w:val="1AB64677"/>
    <w:rsid w:val="1BA100BA"/>
    <w:rsid w:val="1BCA5F0D"/>
    <w:rsid w:val="1D812873"/>
    <w:rsid w:val="1DD03BA9"/>
    <w:rsid w:val="1EA23951"/>
    <w:rsid w:val="1FB21005"/>
    <w:rsid w:val="1FC01DF1"/>
    <w:rsid w:val="1FDA4FD1"/>
    <w:rsid w:val="204358FA"/>
    <w:rsid w:val="21E75AF2"/>
    <w:rsid w:val="222344A5"/>
    <w:rsid w:val="23234639"/>
    <w:rsid w:val="234C4978"/>
    <w:rsid w:val="234F58FD"/>
    <w:rsid w:val="238F77E1"/>
    <w:rsid w:val="23FD7946"/>
    <w:rsid w:val="24696049"/>
    <w:rsid w:val="24FC68BD"/>
    <w:rsid w:val="27C70AB7"/>
    <w:rsid w:val="28CB65FE"/>
    <w:rsid w:val="29030131"/>
    <w:rsid w:val="29B11477"/>
    <w:rsid w:val="2A074C38"/>
    <w:rsid w:val="2A7856D0"/>
    <w:rsid w:val="2ACF29DA"/>
    <w:rsid w:val="2AD839B9"/>
    <w:rsid w:val="2B9374B2"/>
    <w:rsid w:val="2C7112B6"/>
    <w:rsid w:val="2CDA1DE3"/>
    <w:rsid w:val="2D227626"/>
    <w:rsid w:val="2EE610F3"/>
    <w:rsid w:val="2F5C3FAD"/>
    <w:rsid w:val="2FC50935"/>
    <w:rsid w:val="2FF47F66"/>
    <w:rsid w:val="30827426"/>
    <w:rsid w:val="310216F6"/>
    <w:rsid w:val="31A05539"/>
    <w:rsid w:val="33184FFB"/>
    <w:rsid w:val="33661E8F"/>
    <w:rsid w:val="33B469E5"/>
    <w:rsid w:val="346267A1"/>
    <w:rsid w:val="349E1EE2"/>
    <w:rsid w:val="35564084"/>
    <w:rsid w:val="35881CCA"/>
    <w:rsid w:val="35AD6348"/>
    <w:rsid w:val="35C40C65"/>
    <w:rsid w:val="35E27C8F"/>
    <w:rsid w:val="360949B7"/>
    <w:rsid w:val="3659394A"/>
    <w:rsid w:val="36A42728"/>
    <w:rsid w:val="38EC7FB8"/>
    <w:rsid w:val="3A1500EB"/>
    <w:rsid w:val="3A8D35AD"/>
    <w:rsid w:val="3B3A3D25"/>
    <w:rsid w:val="3C6714E2"/>
    <w:rsid w:val="3E421BED"/>
    <w:rsid w:val="3E4245C5"/>
    <w:rsid w:val="3F066AC9"/>
    <w:rsid w:val="3FB10C0A"/>
    <w:rsid w:val="3FE87AC0"/>
    <w:rsid w:val="4106153C"/>
    <w:rsid w:val="41F44B09"/>
    <w:rsid w:val="41F72149"/>
    <w:rsid w:val="420A1023"/>
    <w:rsid w:val="43DF3601"/>
    <w:rsid w:val="444C75A7"/>
    <w:rsid w:val="44831473"/>
    <w:rsid w:val="45562AD0"/>
    <w:rsid w:val="45B61543"/>
    <w:rsid w:val="46096C56"/>
    <w:rsid w:val="48091B6B"/>
    <w:rsid w:val="48542EBB"/>
    <w:rsid w:val="494574C2"/>
    <w:rsid w:val="49FB4052"/>
    <w:rsid w:val="4AFD4615"/>
    <w:rsid w:val="4C9861B7"/>
    <w:rsid w:val="4DF770CF"/>
    <w:rsid w:val="4ED85DC2"/>
    <w:rsid w:val="4F3C3E87"/>
    <w:rsid w:val="4F707062"/>
    <w:rsid w:val="4F7441DB"/>
    <w:rsid w:val="4F893A06"/>
    <w:rsid w:val="4FDB64F4"/>
    <w:rsid w:val="4FEE5732"/>
    <w:rsid w:val="4FFB1AD1"/>
    <w:rsid w:val="507D22BC"/>
    <w:rsid w:val="5099708F"/>
    <w:rsid w:val="50AD486C"/>
    <w:rsid w:val="50DA392E"/>
    <w:rsid w:val="51521776"/>
    <w:rsid w:val="528E36FC"/>
    <w:rsid w:val="52C70422"/>
    <w:rsid w:val="535D5FF9"/>
    <w:rsid w:val="53F01B1B"/>
    <w:rsid w:val="54DA6B18"/>
    <w:rsid w:val="55214BAF"/>
    <w:rsid w:val="572B481A"/>
    <w:rsid w:val="57420605"/>
    <w:rsid w:val="58017371"/>
    <w:rsid w:val="59E5080C"/>
    <w:rsid w:val="5ACC1A03"/>
    <w:rsid w:val="5D826290"/>
    <w:rsid w:val="5DBD55D9"/>
    <w:rsid w:val="5F5159EF"/>
    <w:rsid w:val="5FF75FEC"/>
    <w:rsid w:val="604D6B8C"/>
    <w:rsid w:val="60911E2A"/>
    <w:rsid w:val="611D5AF7"/>
    <w:rsid w:val="612001E9"/>
    <w:rsid w:val="61C74661"/>
    <w:rsid w:val="61CA1CD9"/>
    <w:rsid w:val="654B49C2"/>
    <w:rsid w:val="65602368"/>
    <w:rsid w:val="65C568BB"/>
    <w:rsid w:val="65F12FD0"/>
    <w:rsid w:val="670C11EF"/>
    <w:rsid w:val="68E563ED"/>
    <w:rsid w:val="69D16035"/>
    <w:rsid w:val="6C1114DA"/>
    <w:rsid w:val="6CEC4142"/>
    <w:rsid w:val="6DCF3162"/>
    <w:rsid w:val="6DED7318"/>
    <w:rsid w:val="6EAC4123"/>
    <w:rsid w:val="6F243447"/>
    <w:rsid w:val="701D1E62"/>
    <w:rsid w:val="70DA0B16"/>
    <w:rsid w:val="712C5556"/>
    <w:rsid w:val="71502B31"/>
    <w:rsid w:val="7166431B"/>
    <w:rsid w:val="723536EF"/>
    <w:rsid w:val="72725EBD"/>
    <w:rsid w:val="73B3225C"/>
    <w:rsid w:val="73E4432F"/>
    <w:rsid w:val="747D5D9D"/>
    <w:rsid w:val="74AD60FE"/>
    <w:rsid w:val="755F53B9"/>
    <w:rsid w:val="75925C20"/>
    <w:rsid w:val="75CA1945"/>
    <w:rsid w:val="77012F84"/>
    <w:rsid w:val="78127D89"/>
    <w:rsid w:val="78FC310E"/>
    <w:rsid w:val="79CF5664"/>
    <w:rsid w:val="7AE273D2"/>
    <w:rsid w:val="7BD947C0"/>
    <w:rsid w:val="7CF11A09"/>
    <w:rsid w:val="7E7B0987"/>
    <w:rsid w:val="7F4730F8"/>
    <w:rsid w:val="7FD541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qFormat="1" w:uiPriority="99" w:semiHidden="0" w:name="toc 2"/>
    <w:lsdException w:qFormat="1" w:uiPriority="99" w:semiHidden="0" w:name="toc 3"/>
    <w:lsdException w:qFormat="1" w:uiPriority="99" w:semiHidden="0" w:name="toc 4"/>
    <w:lsdException w:qFormat="1" w:uiPriority="99" w:semiHidden="0" w:name="toc 5"/>
    <w:lsdException w:qFormat="1" w:uiPriority="99" w:semiHidden="0" w:name="toc 6"/>
    <w:lsdException w:qFormat="1" w:uiPriority="99" w:semiHidden="0" w:name="toc 7"/>
    <w:lsdException w:qFormat="1" w:uiPriority="99" w:semiHidden="0" w:name="toc 8"/>
    <w:lsdException w:qFormat="1" w:uiPriority="9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unhideWhenUsed/>
    <w:qFormat/>
    <w:uiPriority w:val="99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5"/>
    <w:unhideWhenUsed/>
    <w:qFormat/>
    <w:uiPriority w:val="99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仿宋_GB2312"/>
      <w:b/>
      <w:sz w:val="32"/>
    </w:rPr>
  </w:style>
  <w:style w:type="paragraph" w:styleId="4">
    <w:name w:val="heading 3"/>
    <w:basedOn w:val="1"/>
    <w:next w:val="1"/>
    <w:unhideWhenUsed/>
    <w:qFormat/>
    <w:uiPriority w:val="99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/>
      <w:b/>
      <w:sz w:val="32"/>
    </w:rPr>
  </w:style>
  <w:style w:type="character" w:default="1" w:styleId="19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99"/>
    <w:pPr>
      <w:ind w:left="2520" w:leftChars="1200"/>
    </w:pPr>
  </w:style>
  <w:style w:type="paragraph" w:styleId="6">
    <w:name w:val="Body Text"/>
    <w:basedOn w:val="1"/>
    <w:qFormat/>
    <w:uiPriority w:val="1"/>
    <w:pPr>
      <w:ind w:left="220"/>
    </w:pPr>
    <w:rPr>
      <w:rFonts w:ascii="Noto Sans Mono CJK JP Regular" w:hAnsi="Noto Sans Mono CJK JP Regular" w:eastAsia="Noto Sans Mono CJK JP Regular" w:cs="Noto Sans Mono CJK JP Regular"/>
      <w:sz w:val="30"/>
      <w:szCs w:val="30"/>
    </w:rPr>
  </w:style>
  <w:style w:type="paragraph" w:styleId="7">
    <w:name w:val="toc 5"/>
    <w:basedOn w:val="1"/>
    <w:next w:val="1"/>
    <w:unhideWhenUsed/>
    <w:qFormat/>
    <w:uiPriority w:val="99"/>
    <w:pPr>
      <w:ind w:left="1680" w:leftChars="800"/>
    </w:pPr>
  </w:style>
  <w:style w:type="paragraph" w:styleId="8">
    <w:name w:val="toc 3"/>
    <w:basedOn w:val="1"/>
    <w:next w:val="1"/>
    <w:unhideWhenUsed/>
    <w:qFormat/>
    <w:uiPriority w:val="99"/>
    <w:pPr>
      <w:ind w:left="840" w:leftChars="400"/>
    </w:pPr>
  </w:style>
  <w:style w:type="paragraph" w:styleId="9">
    <w:name w:val="toc 8"/>
    <w:basedOn w:val="1"/>
    <w:next w:val="1"/>
    <w:unhideWhenUsed/>
    <w:qFormat/>
    <w:uiPriority w:val="99"/>
    <w:pPr>
      <w:ind w:left="2940" w:leftChars="1400"/>
    </w:p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2">
    <w:name w:val="toc 1"/>
    <w:basedOn w:val="1"/>
    <w:next w:val="1"/>
    <w:unhideWhenUsed/>
    <w:qFormat/>
    <w:uiPriority w:val="99"/>
  </w:style>
  <w:style w:type="paragraph" w:styleId="13">
    <w:name w:val="toc 4"/>
    <w:basedOn w:val="1"/>
    <w:next w:val="1"/>
    <w:unhideWhenUsed/>
    <w:qFormat/>
    <w:uiPriority w:val="99"/>
    <w:pPr>
      <w:ind w:left="1260" w:leftChars="600"/>
    </w:pPr>
  </w:style>
  <w:style w:type="paragraph" w:styleId="14">
    <w:name w:val="toc 6"/>
    <w:basedOn w:val="1"/>
    <w:next w:val="1"/>
    <w:unhideWhenUsed/>
    <w:qFormat/>
    <w:uiPriority w:val="99"/>
    <w:pPr>
      <w:ind w:left="2100" w:leftChars="1000"/>
    </w:pPr>
  </w:style>
  <w:style w:type="paragraph" w:styleId="15">
    <w:name w:val="toc 2"/>
    <w:basedOn w:val="1"/>
    <w:next w:val="1"/>
    <w:unhideWhenUsed/>
    <w:qFormat/>
    <w:uiPriority w:val="99"/>
    <w:pPr>
      <w:ind w:left="420" w:leftChars="200"/>
    </w:pPr>
  </w:style>
  <w:style w:type="paragraph" w:styleId="16">
    <w:name w:val="toc 9"/>
    <w:basedOn w:val="1"/>
    <w:next w:val="1"/>
    <w:unhideWhenUsed/>
    <w:qFormat/>
    <w:uiPriority w:val="99"/>
    <w:pPr>
      <w:ind w:left="3360" w:leftChars="1600"/>
    </w:pPr>
  </w:style>
  <w:style w:type="paragraph" w:styleId="17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20">
    <w:name w:val="page number"/>
    <w:basedOn w:val="19"/>
    <w:unhideWhenUsed/>
    <w:qFormat/>
    <w:uiPriority w:val="99"/>
  </w:style>
  <w:style w:type="character" w:styleId="21">
    <w:name w:val="Hyperlink"/>
    <w:basedOn w:val="19"/>
    <w:unhideWhenUsed/>
    <w:qFormat/>
    <w:uiPriority w:val="99"/>
    <w:rPr>
      <w:color w:val="0000FF"/>
      <w:u w:val="single"/>
    </w:rPr>
  </w:style>
  <w:style w:type="paragraph" w:customStyle="1" w:styleId="22">
    <w:name w:val="Heading 1"/>
    <w:basedOn w:val="1"/>
    <w:qFormat/>
    <w:uiPriority w:val="1"/>
    <w:pPr>
      <w:spacing w:line="541" w:lineRule="exact"/>
      <w:ind w:left="1919" w:right="2017"/>
      <w:jc w:val="center"/>
      <w:outlineLvl w:val="1"/>
    </w:pPr>
    <w:rPr>
      <w:rFonts w:ascii="Noto Sans Mono CJK JP Regular" w:hAnsi="Noto Sans Mono CJK JP Regular" w:eastAsia="Noto Sans Mono CJK JP Regular" w:cs="Noto Sans Mono CJK JP Regular"/>
      <w:sz w:val="36"/>
      <w:szCs w:val="36"/>
    </w:rPr>
  </w:style>
  <w:style w:type="paragraph" w:customStyle="1" w:styleId="23">
    <w:name w:val="List Paragraph"/>
    <w:basedOn w:val="1"/>
    <w:qFormat/>
    <w:uiPriority w:val="1"/>
    <w:pPr>
      <w:spacing w:before="2"/>
      <w:ind w:left="640" w:hanging="420"/>
    </w:pPr>
    <w:rPr>
      <w:rFonts w:ascii="Noto Sans Mono CJK JP Regular" w:hAnsi="Noto Sans Mono CJK JP Regular" w:eastAsia="Noto Sans Mono CJK JP Regular" w:cs="Noto Sans Mono CJK JP Regular"/>
    </w:rPr>
  </w:style>
  <w:style w:type="paragraph" w:customStyle="1" w:styleId="24">
    <w:name w:val="Table Paragraph"/>
    <w:basedOn w:val="1"/>
    <w:qFormat/>
    <w:uiPriority w:val="1"/>
    <w:rPr>
      <w:rFonts w:ascii="Noto Sans Mono CJK JP Regular" w:hAnsi="Noto Sans Mono CJK JP Regular" w:eastAsia="Noto Sans Mono CJK JP Regular" w:cs="Noto Sans Mono CJK JP Regular"/>
    </w:rPr>
  </w:style>
  <w:style w:type="character" w:customStyle="1" w:styleId="25">
    <w:name w:val="标题 2 Char"/>
    <w:link w:val="3"/>
    <w:qFormat/>
    <w:uiPriority w:val="0"/>
    <w:rPr>
      <w:rFonts w:ascii="Arial" w:hAnsi="Arial" w:eastAsia="仿宋_GB2312"/>
      <w:b/>
      <w:sz w:val="32"/>
    </w:rPr>
  </w:style>
  <w:style w:type="table" w:customStyle="1" w:styleId="2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2250</Words>
  <Characters>2601</Characters>
  <Lines>0</Lines>
  <Paragraphs>0</Paragraphs>
  <TotalTime>5</TotalTime>
  <ScaleCrop>false</ScaleCrop>
  <LinksUpToDate>false</LinksUpToDate>
  <CharactersWithSpaces>2811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2019-11-20T07:09:00Z</dcterms:created>
  <dc:creator>MC SYSTEM</dc:creator>
  <cp:lastModifiedBy>丁蒙/办公室/南宁/PBC</cp:lastModifiedBy>
  <dcterms:modified xsi:type="dcterms:W3CDTF">2023-08-17T10:14:16Z</dcterms:modified>
  <dc:title>（一）名录登记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WPS Office 专业版</vt:lpwstr>
  </property>
  <property fmtid="{D5CDD505-2E9C-101B-9397-08002B2CF9AE}" pid="4" name="LastSaved">
    <vt:filetime>2019-11-20T00:00:00Z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3D821C85CD334749B1B1AEDCA7A0CDBB_12</vt:lpwstr>
  </property>
</Properties>
</file>