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300"/>
        <w:rPr>
          <w:rFonts w:hint="eastAsia" w:ascii="Times New Roman" w:hAnsi="Times New Roman" w:eastAsia="黑体" w:cs="Times New Roman"/>
          <w:color w:val="auto"/>
          <w:sz w:val="30"/>
          <w:szCs w:val="30"/>
        </w:rPr>
      </w:pPr>
      <w:r>
        <w:rPr>
          <w:rFonts w:ascii="Times New Roman" w:hAnsi="Times New Roman" w:eastAsia="黑体" w:cs="Times New Roman"/>
          <w:color w:val="auto"/>
          <w:sz w:val="30"/>
          <w:szCs w:val="30"/>
        </w:rPr>
        <w:t>编号：</w:t>
      </w:r>
      <w:r>
        <w:rPr>
          <w:rFonts w:hint="eastAsia" w:ascii="Times New Roman" w:hAnsi="Times New Roman" w:eastAsia="黑体" w:cs="Times New Roman"/>
          <w:color w:val="auto"/>
          <w:sz w:val="30"/>
          <w:szCs w:val="30"/>
        </w:rPr>
        <w:t xml:space="preserve">000171112002               </w:t>
      </w:r>
    </w:p>
    <w:p>
      <w:pPr>
        <w:ind w:right="300"/>
        <w:rPr>
          <w:rFonts w:hint="eastAsia" w:ascii="Times New Roman" w:hAnsi="Times New Roman" w:eastAsia="黑体" w:cs="Times New Roman"/>
          <w:color w:val="auto"/>
          <w:sz w:val="30"/>
          <w:szCs w:val="30"/>
        </w:rPr>
      </w:pPr>
    </w:p>
    <w:p>
      <w:pPr>
        <w:ind w:right="300"/>
        <w:rPr>
          <w:rFonts w:hint="eastAsia" w:ascii="Times New Roman" w:hAnsi="Times New Roman" w:eastAsia="黑体" w:cs="Times New Roman"/>
          <w:color w:val="auto"/>
          <w:sz w:val="30"/>
          <w:szCs w:val="30"/>
        </w:rPr>
      </w:pPr>
    </w:p>
    <w:p>
      <w:pPr>
        <w:ind w:right="300"/>
        <w:rPr>
          <w:rFonts w:hint="eastAsia" w:ascii="Times New Roman" w:hAnsi="Times New Roman" w:eastAsia="黑体" w:cs="Times New Roman"/>
          <w:color w:val="auto"/>
          <w:sz w:val="30"/>
          <w:szCs w:val="30"/>
        </w:rPr>
      </w:pPr>
    </w:p>
    <w:p>
      <w:pPr>
        <w:ind w:right="300"/>
        <w:jc w:val="center"/>
        <w:rPr>
          <w:rFonts w:ascii="Times New Roman" w:hAnsi="Times New Roman" w:eastAsia="黑体" w:cs="Times New Roman"/>
          <w:color w:val="auto"/>
          <w:sz w:val="30"/>
          <w:szCs w:val="30"/>
        </w:rPr>
      </w:pPr>
    </w:p>
    <w:p>
      <w:pPr>
        <w:ind w:right="300"/>
        <w:jc w:val="center"/>
        <w:rPr>
          <w:rFonts w:ascii="Times New Roman" w:hAnsi="Times New Roman" w:eastAsia="黑体" w:cs="Times New Roman"/>
          <w:color w:val="auto"/>
          <w:sz w:val="52"/>
          <w:szCs w:val="52"/>
        </w:rPr>
      </w:pPr>
      <w:r>
        <w:rPr>
          <w:rFonts w:ascii="Times New Roman" w:hAnsi="Times New Roman" w:eastAsia="黑体" w:cs="Times New Roman"/>
          <w:color w:val="auto"/>
          <w:sz w:val="52"/>
          <w:szCs w:val="52"/>
        </w:rPr>
        <w:t>“</w:t>
      </w:r>
      <w:r>
        <w:rPr>
          <w:rFonts w:hint="eastAsia" w:ascii="Times New Roman" w:hAnsi="Times New Roman" w:eastAsia="黑体" w:cs="Times New Roman"/>
          <w:color w:val="auto"/>
          <w:sz w:val="52"/>
          <w:szCs w:val="52"/>
        </w:rPr>
        <w:t>保险机构经营或终止结售汇业务审批</w:t>
      </w:r>
      <w:r>
        <w:rPr>
          <w:rFonts w:ascii="Times New Roman" w:hAnsi="Times New Roman" w:eastAsia="黑体" w:cs="Times New Roman"/>
          <w:color w:val="auto"/>
          <w:sz w:val="52"/>
          <w:szCs w:val="52"/>
        </w:rPr>
        <w:t>”</w:t>
      </w:r>
    </w:p>
    <w:p>
      <w:pPr>
        <w:ind w:right="300"/>
        <w:jc w:val="center"/>
        <w:rPr>
          <w:rFonts w:ascii="Times New Roman" w:hAnsi="Times New Roman" w:eastAsia="黑体" w:cs="Times New Roman"/>
          <w:color w:val="auto"/>
          <w:sz w:val="52"/>
          <w:szCs w:val="52"/>
        </w:rPr>
      </w:pPr>
      <w:r>
        <w:rPr>
          <w:rFonts w:ascii="Times New Roman" w:hAnsi="Times New Roman" w:eastAsia="黑体" w:cs="Times New Roman"/>
          <w:color w:val="auto"/>
          <w:sz w:val="52"/>
          <w:szCs w:val="52"/>
        </w:rPr>
        <w:t>行政审批服务指南</w:t>
      </w:r>
    </w:p>
    <w:p>
      <w:pPr>
        <w:ind w:right="300"/>
        <w:jc w:val="center"/>
        <w:rPr>
          <w:rFonts w:ascii="Times New Roman" w:hAnsi="Times New Roman" w:eastAsia="黑体" w:cs="Times New Roman"/>
          <w:color w:val="auto"/>
          <w:sz w:val="52"/>
          <w:szCs w:val="52"/>
        </w:rPr>
      </w:pPr>
    </w:p>
    <w:p>
      <w:pPr>
        <w:ind w:right="300"/>
        <w:jc w:val="center"/>
        <w:rPr>
          <w:rFonts w:ascii="Times New Roman" w:hAnsi="Times New Roman" w:eastAsia="黑体" w:cs="Times New Roman"/>
          <w:color w:val="auto"/>
          <w:sz w:val="52"/>
          <w:szCs w:val="52"/>
        </w:rPr>
      </w:pPr>
    </w:p>
    <w:p>
      <w:pPr>
        <w:ind w:right="300"/>
        <w:jc w:val="center"/>
        <w:rPr>
          <w:rFonts w:ascii="Times New Roman" w:hAnsi="Times New Roman" w:eastAsia="黑体" w:cs="Times New Roman"/>
          <w:color w:val="auto"/>
          <w:sz w:val="52"/>
          <w:szCs w:val="52"/>
        </w:rPr>
      </w:pPr>
    </w:p>
    <w:p>
      <w:pPr>
        <w:ind w:right="300"/>
        <w:jc w:val="center"/>
        <w:rPr>
          <w:rFonts w:ascii="Times New Roman" w:hAnsi="Times New Roman" w:eastAsia="黑体" w:cs="Times New Roman"/>
          <w:color w:val="auto"/>
          <w:sz w:val="52"/>
          <w:szCs w:val="52"/>
        </w:rPr>
      </w:pPr>
    </w:p>
    <w:p>
      <w:pPr>
        <w:ind w:right="300"/>
        <w:jc w:val="center"/>
        <w:rPr>
          <w:rFonts w:ascii="Times New Roman" w:hAnsi="Times New Roman" w:eastAsia="黑体" w:cs="Times New Roman"/>
          <w:color w:val="auto"/>
          <w:sz w:val="52"/>
          <w:szCs w:val="52"/>
        </w:rPr>
      </w:pPr>
    </w:p>
    <w:p>
      <w:pPr>
        <w:ind w:right="300"/>
        <w:rPr>
          <w:rFonts w:ascii="Times New Roman" w:hAnsi="Times New Roman" w:eastAsia="仿宋_GB2312" w:cs="Times New Roman"/>
          <w:color w:val="auto"/>
          <w:sz w:val="30"/>
          <w:szCs w:val="30"/>
        </w:rPr>
      </w:pPr>
    </w:p>
    <w:p>
      <w:pPr>
        <w:ind w:right="300"/>
        <w:rPr>
          <w:rFonts w:ascii="Times New Roman" w:hAnsi="Times New Roman" w:eastAsia="仿宋_GB2312" w:cs="Times New Roman"/>
          <w:color w:val="auto"/>
          <w:sz w:val="30"/>
          <w:szCs w:val="30"/>
        </w:rPr>
      </w:pPr>
    </w:p>
    <w:p>
      <w:pPr>
        <w:ind w:right="300"/>
        <w:rPr>
          <w:rFonts w:ascii="Times New Roman" w:hAnsi="Times New Roman" w:eastAsia="仿宋_GB2312" w:cs="Times New Roman"/>
          <w:color w:val="auto"/>
          <w:sz w:val="30"/>
          <w:szCs w:val="30"/>
        </w:rPr>
      </w:pPr>
    </w:p>
    <w:p>
      <w:pPr>
        <w:ind w:right="300"/>
        <w:rPr>
          <w:rFonts w:ascii="Times New Roman" w:hAnsi="Times New Roman" w:eastAsia="仿宋_GB2312" w:cs="Times New Roman"/>
          <w:color w:val="auto"/>
          <w:sz w:val="30"/>
          <w:szCs w:val="30"/>
        </w:rPr>
      </w:pPr>
    </w:p>
    <w:p>
      <w:pPr>
        <w:ind w:right="300"/>
        <w:rPr>
          <w:rFonts w:ascii="Times New Roman" w:hAnsi="Times New Roman" w:eastAsia="仿宋_GB2312" w:cs="Times New Roman"/>
          <w:color w:val="auto"/>
          <w:sz w:val="30"/>
          <w:szCs w:val="30"/>
        </w:rPr>
      </w:pPr>
    </w:p>
    <w:p>
      <w:pPr>
        <w:pStyle w:val="21"/>
        <w:widowControl w:val="0"/>
        <w:wordWrap/>
        <w:autoSpaceDE w:val="0"/>
        <w:autoSpaceDN w:val="0"/>
        <w:adjustRightInd/>
        <w:snapToGrid/>
        <w:spacing w:before="0" w:after="0" w:line="560" w:lineRule="exact"/>
        <w:ind w:left="0" w:leftChars="0" w:right="0" w:firstLine="0" w:firstLineChars="0"/>
        <w:jc w:val="center"/>
        <w:textAlignment w:val="auto"/>
        <w:outlineLvl w:val="1"/>
        <w:rPr>
          <w:rFonts w:hint="eastAsia" w:ascii="宋体" w:hAnsi="宋体" w:eastAsia="宋体" w:cs="宋体"/>
          <w:b w:val="0"/>
          <w:bCs w:val="0"/>
          <w:color w:val="auto"/>
          <w:sz w:val="40"/>
          <w:szCs w:val="40"/>
          <w:lang w:val="en-US" w:eastAsia="zh-CN"/>
        </w:rPr>
      </w:pPr>
      <w:r>
        <w:rPr>
          <w:rFonts w:hint="eastAsia" w:ascii="宋体" w:hAnsi="宋体" w:eastAsia="宋体" w:cs="宋体"/>
          <w:b w:val="0"/>
          <w:bCs w:val="0"/>
          <w:color w:val="auto"/>
          <w:sz w:val="40"/>
          <w:szCs w:val="40"/>
          <w:lang w:val="en-US" w:eastAsia="zh-CN"/>
        </w:rPr>
        <w:t>国家外汇管理局广西壮族自治区分局</w:t>
      </w:r>
    </w:p>
    <w:p>
      <w:pPr>
        <w:pStyle w:val="21"/>
        <w:widowControl w:val="0"/>
        <w:wordWrap/>
        <w:autoSpaceDE w:val="0"/>
        <w:autoSpaceDN w:val="0"/>
        <w:adjustRightInd/>
        <w:snapToGrid/>
        <w:spacing w:before="0" w:after="0" w:line="560" w:lineRule="exact"/>
        <w:ind w:left="0" w:leftChars="0" w:right="0" w:firstLine="0" w:firstLineChars="0"/>
        <w:jc w:val="center"/>
        <w:textAlignment w:val="auto"/>
        <w:outlineLvl w:val="1"/>
        <w:rPr>
          <w:rFonts w:hint="eastAsia" w:ascii="宋体" w:hAnsi="宋体" w:eastAsia="宋体" w:cs="宋体"/>
          <w:b w:val="0"/>
          <w:bCs w:val="0"/>
          <w:color w:val="auto"/>
          <w:sz w:val="40"/>
          <w:szCs w:val="40"/>
          <w:lang w:val="en-US" w:eastAsia="zh-CN"/>
        </w:rPr>
      </w:pPr>
    </w:p>
    <w:p>
      <w:pPr>
        <w:ind w:right="300"/>
        <w:jc w:val="center"/>
        <w:rPr>
          <w:rFonts w:ascii="Times New Roman" w:hAnsi="Times New Roman" w:eastAsia="仿宋_GB2312" w:cs="Times New Roman"/>
          <w:color w:val="auto"/>
          <w:sz w:val="30"/>
          <w:szCs w:val="30"/>
        </w:rPr>
      </w:pPr>
      <w:r>
        <w:rPr>
          <w:rFonts w:hint="eastAsia" w:ascii="宋体" w:hAnsi="宋体" w:eastAsia="宋体" w:cs="宋体"/>
          <w:b w:val="0"/>
          <w:bCs w:val="0"/>
          <w:color w:val="auto"/>
          <w:sz w:val="40"/>
          <w:szCs w:val="40"/>
          <w:lang w:val="en-US" w:eastAsia="zh-CN"/>
        </w:rPr>
        <w:t>202</w:t>
      </w:r>
      <w:r>
        <w:rPr>
          <w:rFonts w:hint="eastAsia" w:ascii="宋体" w:hAnsi="宋体" w:cs="宋体"/>
          <w:b w:val="0"/>
          <w:bCs w:val="0"/>
          <w:color w:val="auto"/>
          <w:sz w:val="40"/>
          <w:szCs w:val="40"/>
          <w:lang w:val="en-US" w:eastAsia="zh-CN"/>
        </w:rPr>
        <w:t>3</w:t>
      </w:r>
      <w:r>
        <w:rPr>
          <w:rFonts w:hint="eastAsia" w:ascii="宋体" w:hAnsi="宋体" w:eastAsia="宋体" w:cs="宋体"/>
          <w:b w:val="0"/>
          <w:bCs w:val="0"/>
          <w:color w:val="auto"/>
          <w:sz w:val="40"/>
          <w:szCs w:val="40"/>
          <w:lang w:val="en-US" w:eastAsia="zh-CN"/>
        </w:rPr>
        <w:t>年</w:t>
      </w:r>
      <w:r>
        <w:rPr>
          <w:rFonts w:hint="eastAsia" w:ascii="宋体" w:hAnsi="宋体" w:cs="宋体"/>
          <w:b w:val="0"/>
          <w:bCs w:val="0"/>
          <w:color w:val="auto"/>
          <w:sz w:val="40"/>
          <w:szCs w:val="40"/>
          <w:lang w:val="en-US" w:eastAsia="zh-CN"/>
        </w:rPr>
        <w:t>8</w:t>
      </w:r>
      <w:r>
        <w:rPr>
          <w:rFonts w:hint="eastAsia" w:ascii="宋体" w:hAnsi="宋体" w:eastAsia="宋体" w:cs="宋体"/>
          <w:b w:val="0"/>
          <w:bCs w:val="0"/>
          <w:color w:val="auto"/>
          <w:sz w:val="40"/>
          <w:szCs w:val="40"/>
          <w:lang w:val="en-US" w:eastAsia="zh-CN"/>
        </w:rPr>
        <w:t>月</w:t>
      </w:r>
    </w:p>
    <w:p>
      <w:pPr>
        <w:adjustRightInd w:val="0"/>
        <w:spacing w:line="360" w:lineRule="auto"/>
        <w:jc w:val="left"/>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val="en-US" w:eastAsia="zh-CN"/>
        </w:rPr>
        <w:t xml:space="preserve">    </w:t>
      </w:r>
      <w:r>
        <w:rPr>
          <w:rFonts w:ascii="Times New Roman" w:hAnsi="Times New Roman" w:eastAsia="黑体" w:cs="Times New Roman"/>
          <w:color w:val="auto"/>
          <w:sz w:val="30"/>
          <w:szCs w:val="30"/>
        </w:rPr>
        <w:t>一、项目信息</w:t>
      </w:r>
    </w:p>
    <w:p>
      <w:pPr>
        <w:adjustRightInd w:val="0"/>
        <w:spacing w:line="360" w:lineRule="auto"/>
        <w:ind w:firstLine="585"/>
        <w:jc w:val="left"/>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项目名称：</w:t>
      </w:r>
      <w:r>
        <w:rPr>
          <w:rFonts w:hint="eastAsia" w:ascii="Times New Roman" w:hAnsi="Times New Roman" w:eastAsia="仿宋_GB2312" w:cs="Times New Roman"/>
          <w:color w:val="auto"/>
          <w:sz w:val="30"/>
          <w:szCs w:val="30"/>
        </w:rPr>
        <w:t>保险机构经营或终止结售汇业务审批</w:t>
      </w:r>
      <w:r>
        <w:rPr>
          <w:rFonts w:ascii="Times New Roman" w:hAnsi="Times New Roman" w:eastAsia="仿宋_GB2312" w:cs="Times New Roman"/>
          <w:color w:val="auto"/>
          <w:sz w:val="30"/>
          <w:szCs w:val="30"/>
        </w:rPr>
        <w:t>；</w:t>
      </w:r>
    </w:p>
    <w:p>
      <w:pPr>
        <w:adjustRightInd w:val="0"/>
        <w:spacing w:line="360" w:lineRule="auto"/>
        <w:ind w:firstLine="585"/>
        <w:jc w:val="left"/>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项目编号：</w:t>
      </w:r>
      <w:r>
        <w:rPr>
          <w:rFonts w:hint="eastAsia" w:ascii="Times New Roman" w:hAnsi="Times New Roman" w:eastAsia="仿宋_GB2312" w:cs="Times New Roman"/>
          <w:color w:val="auto"/>
          <w:sz w:val="30"/>
          <w:szCs w:val="30"/>
        </w:rPr>
        <w:t>000171112002</w:t>
      </w:r>
      <w:r>
        <w:rPr>
          <w:rFonts w:ascii="Times New Roman" w:hAnsi="Times New Roman" w:eastAsia="仿宋_GB2312" w:cs="Times New Roman"/>
          <w:color w:val="auto"/>
          <w:sz w:val="30"/>
          <w:szCs w:val="30"/>
        </w:rPr>
        <w:t>；</w:t>
      </w:r>
    </w:p>
    <w:p>
      <w:pPr>
        <w:adjustRightInd w:val="0"/>
        <w:spacing w:line="360" w:lineRule="auto"/>
        <w:ind w:firstLine="585"/>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审批类别：行政许可。</w:t>
      </w:r>
    </w:p>
    <w:p>
      <w:pPr>
        <w:adjustRightInd w:val="0"/>
        <w:spacing w:line="360" w:lineRule="auto"/>
        <w:ind w:firstLine="585"/>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二、适用范围</w:t>
      </w:r>
    </w:p>
    <w:p>
      <w:pPr>
        <w:adjustRightInd w:val="0"/>
        <w:spacing w:line="360" w:lineRule="auto"/>
        <w:ind w:firstLine="585"/>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本指南适用于“</w:t>
      </w:r>
      <w:r>
        <w:rPr>
          <w:rFonts w:hint="eastAsia" w:ascii="Times New Roman" w:hAnsi="Times New Roman" w:eastAsia="仿宋_GB2312" w:cs="Times New Roman"/>
          <w:color w:val="auto"/>
          <w:sz w:val="30"/>
          <w:szCs w:val="30"/>
        </w:rPr>
        <w:t>保险机构经营或终止结售汇业务审批</w:t>
      </w:r>
      <w:r>
        <w:rPr>
          <w:rFonts w:ascii="Times New Roman" w:hAnsi="Times New Roman" w:eastAsia="仿宋_GB2312" w:cs="Times New Roman"/>
          <w:color w:val="auto"/>
          <w:sz w:val="30"/>
          <w:szCs w:val="30"/>
        </w:rPr>
        <w:t>”的申请和办理。</w:t>
      </w:r>
    </w:p>
    <w:p>
      <w:pPr>
        <w:adjustRightInd w:val="0"/>
        <w:spacing w:line="360" w:lineRule="auto"/>
        <w:ind w:firstLine="585"/>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三、设定依据</w:t>
      </w:r>
    </w:p>
    <w:p>
      <w:pPr>
        <w:adjustRightInd w:val="0"/>
        <w:spacing w:line="360" w:lineRule="auto"/>
        <w:ind w:firstLine="585"/>
        <w:rPr>
          <w:rFonts w:hint="eastAsia"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w:t>
      </w:r>
      <w:r>
        <w:rPr>
          <w:rFonts w:hint="eastAsia" w:ascii="Times New Roman" w:hAnsi="Times New Roman" w:eastAsia="仿宋_GB2312" w:cs="Times New Roman"/>
          <w:color w:val="auto"/>
          <w:sz w:val="30"/>
          <w:szCs w:val="30"/>
        </w:rPr>
        <w:t>《中华人民共和国外汇管理条例》第二十四条</w:t>
      </w:r>
    </w:p>
    <w:p>
      <w:pPr>
        <w:adjustRightInd w:val="0"/>
        <w:spacing w:line="360" w:lineRule="auto"/>
        <w:ind w:firstLine="600" w:firstLineChars="2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四、办理依据</w:t>
      </w:r>
    </w:p>
    <w:p>
      <w:pPr>
        <w:adjustRightIn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（一）</w:t>
      </w:r>
      <w:r>
        <w:rPr>
          <w:rFonts w:hint="eastAsia" w:ascii="Times New Roman" w:hAnsi="Times New Roman" w:eastAsia="仿宋_GB2312" w:cs="Times New Roman"/>
          <w:color w:val="auto"/>
          <w:sz w:val="30"/>
          <w:szCs w:val="30"/>
        </w:rPr>
        <w:t>《银行办理结售汇业务管理办法》（中国人民银行令〔2014〕第2号）第六条、第七条、第三十一条</w:t>
      </w:r>
    </w:p>
    <w:p>
      <w:pPr>
        <w:adjustRightIn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（二）</w:t>
      </w:r>
      <w:r>
        <w:rPr>
          <w:rFonts w:hint="eastAsia" w:ascii="Times New Roman" w:hAnsi="Times New Roman" w:eastAsia="仿宋_GB2312" w:cs="Times New Roman"/>
          <w:color w:val="auto"/>
          <w:sz w:val="30"/>
          <w:szCs w:val="30"/>
        </w:rPr>
        <w:t>《银行办理结售汇业务管理办法实施细则》（汇发〔2014〕53号文印发）第九条、第十条、第五十四条</w:t>
      </w:r>
    </w:p>
    <w:p>
      <w:pPr>
        <w:adjustRightIn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（三）</w:t>
      </w:r>
      <w:r>
        <w:rPr>
          <w:rFonts w:hint="eastAsia" w:ascii="Times New Roman" w:hAnsi="Times New Roman" w:eastAsia="仿宋_GB2312" w:cs="Times New Roman"/>
          <w:color w:val="auto"/>
          <w:sz w:val="30"/>
          <w:szCs w:val="30"/>
        </w:rPr>
        <w:t>《国家外汇管理局行政许可实施办法》（国家外汇管理局公告2021年第1号）全文</w:t>
      </w:r>
    </w:p>
    <w:p>
      <w:pPr>
        <w:adjustRightInd w:val="0"/>
        <w:spacing w:line="360" w:lineRule="auto"/>
        <w:ind w:firstLine="600" w:firstLineChars="2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五、</w:t>
      </w:r>
      <w:r>
        <w:rPr>
          <w:rFonts w:ascii="Times New Roman" w:hAnsi="Times New Roman" w:eastAsia="黑体" w:cs="Times New Roman"/>
          <w:color w:val="auto"/>
          <w:sz w:val="30"/>
          <w:szCs w:val="30"/>
        </w:rPr>
        <w:t>受理机构</w:t>
      </w:r>
    </w:p>
    <w:p>
      <w:pPr>
        <w:adjustRightInd w:val="0"/>
        <w:spacing w:line="360" w:lineRule="auto"/>
        <w:ind w:firstLine="600" w:firstLineChars="200"/>
        <w:rPr>
          <w:rFonts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申请人注册所在地国家外汇管理局分局。</w:t>
      </w:r>
    </w:p>
    <w:p>
      <w:pPr>
        <w:adjustRightInd w:val="0"/>
        <w:spacing w:line="360" w:lineRule="auto"/>
        <w:ind w:firstLine="600" w:firstLineChars="2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六、</w:t>
      </w:r>
      <w:r>
        <w:rPr>
          <w:rFonts w:ascii="Times New Roman" w:hAnsi="Times New Roman" w:eastAsia="黑体" w:cs="Times New Roman"/>
          <w:color w:val="auto"/>
          <w:sz w:val="30"/>
          <w:szCs w:val="30"/>
        </w:rPr>
        <w:t>决定机构</w:t>
      </w:r>
    </w:p>
    <w:p>
      <w:pPr>
        <w:adjustRightInd w:val="0"/>
        <w:spacing w:line="360" w:lineRule="auto"/>
        <w:ind w:firstLine="600" w:firstLineChars="200"/>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eastAsia="zh-CN"/>
        </w:rPr>
        <w:t>申请人注册所在地国家外汇管理局分局。</w:t>
      </w:r>
    </w:p>
    <w:p>
      <w:pPr>
        <w:adjustRightInd w:val="0"/>
        <w:spacing w:line="360" w:lineRule="auto"/>
        <w:ind w:firstLine="600" w:firstLineChars="2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七、</w:t>
      </w:r>
      <w:r>
        <w:rPr>
          <w:rFonts w:ascii="Times New Roman" w:hAnsi="Times New Roman" w:eastAsia="黑体" w:cs="Times New Roman"/>
          <w:color w:val="auto"/>
          <w:sz w:val="30"/>
          <w:szCs w:val="30"/>
        </w:rPr>
        <w:t>审批数量</w:t>
      </w:r>
    </w:p>
    <w:p>
      <w:pPr>
        <w:adjustRightInd w:val="0"/>
        <w:spacing w:line="360" w:lineRule="auto"/>
        <w:ind w:firstLine="600" w:firstLineChars="2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无数量限制。</w:t>
      </w:r>
    </w:p>
    <w:p>
      <w:pPr>
        <w:adjustRightInd w:val="0"/>
        <w:spacing w:line="360" w:lineRule="auto"/>
        <w:ind w:firstLine="600" w:firstLineChars="2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八、</w:t>
      </w:r>
      <w:r>
        <w:rPr>
          <w:rFonts w:ascii="Times New Roman" w:hAnsi="Times New Roman" w:eastAsia="黑体" w:cs="Times New Roman"/>
          <w:color w:val="auto"/>
          <w:sz w:val="30"/>
          <w:szCs w:val="30"/>
        </w:rPr>
        <w:t>办事条件</w:t>
      </w:r>
      <w:r>
        <w:rPr>
          <w:rFonts w:hint="eastAsia" w:ascii="Times New Roman" w:hAnsi="Times New Roman" w:eastAsia="黑体" w:cs="Times New Roman"/>
          <w:color w:val="auto"/>
          <w:sz w:val="30"/>
          <w:szCs w:val="30"/>
          <w:lang w:eastAsia="zh-CN"/>
        </w:rPr>
        <w:t>及依据</w:t>
      </w:r>
    </w:p>
    <w:p>
      <w:pPr>
        <w:adjustRightInd w:val="0"/>
        <w:spacing w:line="360" w:lineRule="auto"/>
        <w:ind w:firstLine="600" w:firstLineChars="200"/>
        <w:rPr>
          <w:rFonts w:hint="eastAsia" w:ascii="楷体_GB2312" w:hAnsi="楷体_GB2312" w:eastAsia="楷体_GB2312" w:cs="楷体_GB2312"/>
          <w:color w:val="auto"/>
          <w:sz w:val="30"/>
          <w:szCs w:val="30"/>
        </w:rPr>
      </w:pPr>
      <w:r>
        <w:rPr>
          <w:rFonts w:hint="eastAsia" w:ascii="楷体_GB2312" w:hAnsi="楷体_GB2312" w:eastAsia="楷体_GB2312" w:cs="楷体_GB2312"/>
          <w:color w:val="auto"/>
          <w:sz w:val="30"/>
          <w:szCs w:val="30"/>
          <w:lang w:eastAsia="zh-CN"/>
        </w:rPr>
        <w:t>（一）</w:t>
      </w:r>
      <w:r>
        <w:rPr>
          <w:rFonts w:hint="eastAsia" w:ascii="楷体_GB2312" w:hAnsi="楷体_GB2312" w:eastAsia="楷体_GB2312" w:cs="楷体_GB2312"/>
          <w:color w:val="auto"/>
          <w:sz w:val="30"/>
          <w:szCs w:val="30"/>
        </w:rPr>
        <w:t>准予行政许可的条件</w:t>
      </w:r>
    </w:p>
    <w:p>
      <w:pPr>
        <w:adjustRightIn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保险机构申请办理即期结售汇业务，应当具备下列条件：具有保险业务资格；具备完善的业务管理制度；具备办理业务所必需的软硬件设备；拥有具备相应业务工作经验的高级管理人员和业务人员。</w:t>
      </w:r>
    </w:p>
    <w:p>
      <w:pPr>
        <w:adjustRightIn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保险机构申请办理人民币与外汇衍生产品业务，应当具备下列条件：具有即期结售汇业务资格；有健全的衍生产品交易风险管理制度和内部控制制度及适当的风险识别、计量、管理和交易系统，配备开展衍生产品业务所需要的专业人员；符合银行保险监督管理机构有关金融衍生产品交易业务资格的规定。</w:t>
      </w:r>
    </w:p>
    <w:p>
      <w:pPr>
        <w:adjustRightInd w:val="0"/>
        <w:spacing w:line="360" w:lineRule="auto"/>
        <w:ind w:firstLine="600" w:firstLineChars="200"/>
        <w:rPr>
          <w:rFonts w:hint="eastAsia" w:ascii="楷体_GB2312" w:hAnsi="楷体_GB2312" w:eastAsia="楷体_GB2312" w:cs="楷体_GB2312"/>
          <w:color w:val="auto"/>
          <w:sz w:val="30"/>
          <w:szCs w:val="30"/>
        </w:rPr>
      </w:pPr>
      <w:r>
        <w:rPr>
          <w:rFonts w:hint="eastAsia" w:ascii="楷体_GB2312" w:hAnsi="楷体_GB2312" w:eastAsia="楷体_GB2312" w:cs="楷体_GB2312"/>
          <w:color w:val="auto"/>
          <w:sz w:val="30"/>
          <w:szCs w:val="30"/>
          <w:lang w:eastAsia="zh-CN"/>
        </w:rPr>
        <w:t>（二）</w:t>
      </w:r>
      <w:r>
        <w:rPr>
          <w:rFonts w:hint="eastAsia" w:ascii="楷体_GB2312" w:hAnsi="楷体_GB2312" w:eastAsia="楷体_GB2312" w:cs="楷体_GB2312"/>
          <w:color w:val="auto"/>
          <w:sz w:val="30"/>
          <w:szCs w:val="30"/>
        </w:rPr>
        <w:t>规定行政许可条件的依据</w:t>
      </w:r>
    </w:p>
    <w:p>
      <w:pPr>
        <w:adjustRightIn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银行办理结售汇业务管理办法》（中国人民银行令〔2014〕2号文印发）第六条银行申请办理即期结售汇业务，应当具备下列条件：（一）具有金融业务资格；（二）具备完善的业务管理制度；（三）具备办理业务所必需的软硬件设备；（四）拥有具备相应业务工作经验的高级管理人员和业务人员。银行需要银行业监督管理部门批准外汇业务经营资格的，还应具备相应的外汇业务经营资格。</w:t>
      </w:r>
    </w:p>
    <w:p>
      <w:pPr>
        <w:adjustRightIn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 xml:space="preserve">《银行办理结售汇业务管理办法》（中国人民银行令〔2014〕2号文印发）第七条银行申请办理人民币与外汇衍生产品业务，应当具备下列条件：（一）具有即期结售汇业务资格；（二）有健全的衍生产品交易风险管理制度和内部控制制度及适当的风险识别、计量、管理和交易系统，配备开展衍生产品业务所需要的专业人员；（三）符合银行业监督管理机构有关金融衍生产品交易业务资格的规定。 </w:t>
      </w:r>
    </w:p>
    <w:p>
      <w:pPr>
        <w:adjustRightIn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《银行办理结售汇业务管理办法》（中国人民银行令〔2014〕2号文印发）第三十一条非银行金融机构办理结售汇业务，参照本办法执行，国家外汇管理局另有规定的除外。</w:t>
      </w:r>
    </w:p>
    <w:p>
      <w:pPr>
        <w:numPr>
          <w:ilvl w:val="0"/>
          <w:numId w:val="1"/>
        </w:numPr>
        <w:adjustRightInd w:val="0"/>
        <w:spacing w:line="360" w:lineRule="auto"/>
        <w:ind w:firstLine="600" w:firstLineChars="200"/>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申请材料</w:t>
      </w:r>
    </w:p>
    <w:p>
      <w:pPr>
        <w:numPr>
          <w:ilvl w:val="0"/>
          <w:numId w:val="2"/>
        </w:numPr>
        <w:adjustRightInd w:val="0"/>
        <w:snapToGrid w:val="0"/>
        <w:spacing w:line="360" w:lineRule="auto"/>
        <w:ind w:firstLine="600" w:firstLineChars="200"/>
        <w:rPr>
          <w:rFonts w:hint="eastAsia" w:ascii="楷体_GB2312" w:hAnsi="楷体_GB2312" w:eastAsia="楷体_GB2312" w:cs="楷体_GB2312"/>
          <w:color w:val="auto"/>
          <w:sz w:val="30"/>
          <w:szCs w:val="30"/>
          <w:lang w:eastAsia="zh-CN"/>
        </w:rPr>
      </w:pPr>
      <w:r>
        <w:rPr>
          <w:rFonts w:hint="eastAsia" w:ascii="楷体_GB2312" w:hAnsi="楷体_GB2312" w:eastAsia="楷体_GB2312" w:cs="楷体_GB2312"/>
          <w:color w:val="auto"/>
          <w:sz w:val="30"/>
          <w:szCs w:val="30"/>
          <w:lang w:eastAsia="zh-CN"/>
        </w:rPr>
        <w:t>申请材料名称</w:t>
      </w:r>
    </w:p>
    <w:p>
      <w:pPr>
        <w:widowControl w:val="0"/>
        <w:numPr>
          <w:ilvl w:val="0"/>
          <w:numId w:val="0"/>
        </w:numPr>
        <w:wordWrap/>
        <w:adjustRightInd w:val="0"/>
        <w:snapToGrid w:val="0"/>
        <w:spacing w:line="360" w:lineRule="auto"/>
        <w:ind w:left="0" w:leftChars="0" w:right="0" w:firstLine="602" w:firstLineChars="200"/>
        <w:jc w:val="both"/>
        <w:textAlignment w:val="auto"/>
        <w:outlineLvl w:val="9"/>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1.保险机构申请即期结售汇业务</w:t>
      </w:r>
    </w:p>
    <w:tbl>
      <w:tblPr>
        <w:tblStyle w:val="15"/>
        <w:tblW w:w="82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6"/>
        <w:gridCol w:w="2061"/>
        <w:gridCol w:w="1418"/>
        <w:gridCol w:w="708"/>
        <w:gridCol w:w="1843"/>
        <w:gridCol w:w="16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6" w:type="dxa"/>
            <w:vAlign w:val="center"/>
          </w:tcPr>
          <w:p>
            <w:pPr>
              <w:jc w:val="center"/>
              <w:rPr>
                <w:rFonts w:ascii="Times New Roman" w:hAnsi="Times New Roman" w:eastAsia="仿宋_GB2312" w:cs="Times New Roman"/>
                <w:b/>
                <w:color w:val="auto"/>
                <w:sz w:val="24"/>
                <w:szCs w:val="24"/>
              </w:rPr>
            </w:pPr>
            <w:r>
              <w:rPr>
                <w:rFonts w:ascii="Times New Roman" w:hAnsi="Times New Roman" w:eastAsia="仿宋_GB2312" w:cs="Times New Roman"/>
                <w:b/>
                <w:color w:val="auto"/>
                <w:sz w:val="24"/>
                <w:szCs w:val="24"/>
              </w:rPr>
              <w:t>序号</w:t>
            </w:r>
          </w:p>
        </w:tc>
        <w:tc>
          <w:tcPr>
            <w:tcW w:w="2061" w:type="dxa"/>
            <w:vAlign w:val="center"/>
          </w:tcPr>
          <w:p>
            <w:pPr>
              <w:jc w:val="center"/>
              <w:rPr>
                <w:rFonts w:ascii="Times New Roman" w:hAnsi="Times New Roman" w:eastAsia="仿宋_GB2312" w:cs="Times New Roman"/>
                <w:b/>
                <w:color w:val="auto"/>
                <w:sz w:val="24"/>
                <w:szCs w:val="24"/>
              </w:rPr>
            </w:pPr>
            <w:r>
              <w:rPr>
                <w:rFonts w:ascii="Times New Roman" w:hAnsi="Times New Roman" w:eastAsia="仿宋_GB2312" w:cs="Times New Roman"/>
                <w:b/>
                <w:color w:val="auto"/>
                <w:sz w:val="24"/>
                <w:szCs w:val="24"/>
              </w:rPr>
              <w:t>提交材料名称</w:t>
            </w:r>
          </w:p>
        </w:tc>
        <w:tc>
          <w:tcPr>
            <w:tcW w:w="1418" w:type="dxa"/>
            <w:vAlign w:val="center"/>
          </w:tcPr>
          <w:p>
            <w:pPr>
              <w:jc w:val="center"/>
              <w:rPr>
                <w:rFonts w:ascii="Times New Roman" w:hAnsi="Times New Roman" w:eastAsia="仿宋_GB2312" w:cs="Times New Roman"/>
                <w:b/>
                <w:color w:val="auto"/>
                <w:sz w:val="24"/>
                <w:szCs w:val="24"/>
              </w:rPr>
            </w:pPr>
            <w:r>
              <w:rPr>
                <w:rFonts w:ascii="Times New Roman" w:hAnsi="Times New Roman" w:eastAsia="仿宋_GB2312" w:cs="Times New Roman"/>
                <w:b/>
                <w:color w:val="auto"/>
                <w:sz w:val="24"/>
                <w:szCs w:val="24"/>
              </w:rPr>
              <w:t>原件/</w:t>
            </w:r>
          </w:p>
          <w:p>
            <w:pPr>
              <w:jc w:val="center"/>
              <w:rPr>
                <w:rFonts w:ascii="Times New Roman" w:hAnsi="Times New Roman" w:eastAsia="仿宋_GB2312" w:cs="Times New Roman"/>
                <w:b/>
                <w:color w:val="auto"/>
                <w:sz w:val="24"/>
                <w:szCs w:val="24"/>
              </w:rPr>
            </w:pPr>
            <w:r>
              <w:rPr>
                <w:rFonts w:ascii="Times New Roman" w:hAnsi="Times New Roman" w:eastAsia="仿宋_GB2312" w:cs="Times New Roman"/>
                <w:b/>
                <w:color w:val="auto"/>
                <w:sz w:val="24"/>
                <w:szCs w:val="24"/>
              </w:rPr>
              <w:t>复印件</w:t>
            </w:r>
          </w:p>
        </w:tc>
        <w:tc>
          <w:tcPr>
            <w:tcW w:w="708" w:type="dxa"/>
            <w:vAlign w:val="center"/>
          </w:tcPr>
          <w:p>
            <w:pPr>
              <w:jc w:val="center"/>
              <w:rPr>
                <w:rFonts w:ascii="Times New Roman" w:hAnsi="Times New Roman" w:eastAsia="仿宋_GB2312" w:cs="Times New Roman"/>
                <w:b/>
                <w:color w:val="auto"/>
                <w:sz w:val="24"/>
                <w:szCs w:val="24"/>
              </w:rPr>
            </w:pPr>
            <w:r>
              <w:rPr>
                <w:rFonts w:ascii="Times New Roman" w:hAnsi="Times New Roman" w:eastAsia="仿宋_GB2312" w:cs="Times New Roman"/>
                <w:b/>
                <w:color w:val="auto"/>
                <w:sz w:val="24"/>
                <w:szCs w:val="24"/>
              </w:rPr>
              <w:t>份数</w:t>
            </w:r>
          </w:p>
        </w:tc>
        <w:tc>
          <w:tcPr>
            <w:tcW w:w="1843" w:type="dxa"/>
            <w:vAlign w:val="center"/>
          </w:tcPr>
          <w:p>
            <w:pPr>
              <w:jc w:val="center"/>
              <w:rPr>
                <w:rFonts w:ascii="Times New Roman" w:hAnsi="Times New Roman" w:eastAsia="仿宋_GB2312" w:cs="Times New Roman"/>
                <w:b/>
                <w:color w:val="auto"/>
                <w:sz w:val="24"/>
                <w:szCs w:val="24"/>
              </w:rPr>
            </w:pPr>
            <w:r>
              <w:rPr>
                <w:rFonts w:ascii="Times New Roman" w:hAnsi="Times New Roman" w:eastAsia="仿宋_GB2312" w:cs="Times New Roman"/>
                <w:b/>
                <w:color w:val="auto"/>
                <w:sz w:val="24"/>
                <w:szCs w:val="24"/>
              </w:rPr>
              <w:t>要求</w:t>
            </w:r>
          </w:p>
        </w:tc>
        <w:tc>
          <w:tcPr>
            <w:tcW w:w="1600" w:type="dxa"/>
            <w:vAlign w:val="center"/>
          </w:tcPr>
          <w:p>
            <w:pPr>
              <w:jc w:val="center"/>
              <w:rPr>
                <w:rFonts w:ascii="Times New Roman" w:hAnsi="Times New Roman" w:eastAsia="仿宋_GB2312" w:cs="Times New Roman"/>
                <w:b/>
                <w:color w:val="auto"/>
                <w:sz w:val="24"/>
                <w:szCs w:val="24"/>
              </w:rPr>
            </w:pPr>
            <w:r>
              <w:rPr>
                <w:rFonts w:ascii="Times New Roman" w:hAnsi="Times New Roman" w:eastAsia="仿宋_GB2312" w:cs="Times New Roman"/>
                <w:b/>
                <w:color w:val="auto"/>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6" w:type="dxa"/>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1</w:t>
            </w:r>
          </w:p>
        </w:tc>
        <w:tc>
          <w:tcPr>
            <w:tcW w:w="2061" w:type="dxa"/>
            <w:vAlign w:val="center"/>
          </w:tcPr>
          <w:p>
            <w:pPr>
              <w:jc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办理结售汇业务的申请报告</w:t>
            </w:r>
          </w:p>
        </w:tc>
        <w:tc>
          <w:tcPr>
            <w:tcW w:w="1418" w:type="dxa"/>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原件</w:t>
            </w:r>
          </w:p>
        </w:tc>
        <w:tc>
          <w:tcPr>
            <w:tcW w:w="708" w:type="dxa"/>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1</w:t>
            </w:r>
          </w:p>
        </w:tc>
        <w:tc>
          <w:tcPr>
            <w:tcW w:w="1843" w:type="dxa"/>
            <w:vAlign w:val="top"/>
          </w:tcPr>
          <w:p>
            <w:pPr>
              <w:rPr>
                <w:rFonts w:ascii="Times New Roman" w:hAnsi="Times New Roman" w:eastAsia="仿宋_GB2312" w:cs="Times New Roman"/>
                <w:color w:val="auto"/>
                <w:sz w:val="24"/>
                <w:szCs w:val="24"/>
              </w:rPr>
            </w:pPr>
          </w:p>
        </w:tc>
        <w:tc>
          <w:tcPr>
            <w:tcW w:w="1600" w:type="dxa"/>
            <w:vAlign w:val="top"/>
          </w:tcPr>
          <w:p>
            <w:pP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加盖企业公章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6" w:type="dxa"/>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2</w:t>
            </w:r>
          </w:p>
        </w:tc>
        <w:tc>
          <w:tcPr>
            <w:tcW w:w="2061" w:type="dxa"/>
            <w:vAlign w:val="center"/>
          </w:tcPr>
          <w:p>
            <w:pPr>
              <w:jc w:val="left"/>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银行保险监督管理部门颁发的经营保险业务资格证明</w:t>
            </w:r>
          </w:p>
        </w:tc>
        <w:tc>
          <w:tcPr>
            <w:tcW w:w="1418" w:type="dxa"/>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复印件</w:t>
            </w:r>
          </w:p>
        </w:tc>
        <w:tc>
          <w:tcPr>
            <w:tcW w:w="708" w:type="dxa"/>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1</w:t>
            </w:r>
          </w:p>
        </w:tc>
        <w:tc>
          <w:tcPr>
            <w:tcW w:w="1843" w:type="dxa"/>
            <w:vAlign w:val="top"/>
          </w:tcPr>
          <w:p>
            <w:pPr>
              <w:rPr>
                <w:rFonts w:ascii="Times New Roman" w:hAnsi="Times New Roman" w:eastAsia="仿宋_GB2312" w:cs="Times New Roman"/>
                <w:color w:val="auto"/>
                <w:sz w:val="24"/>
                <w:szCs w:val="24"/>
              </w:rPr>
            </w:pPr>
          </w:p>
        </w:tc>
        <w:tc>
          <w:tcPr>
            <w:tcW w:w="1600" w:type="dxa"/>
            <w:vAlign w:val="center"/>
          </w:tcPr>
          <w:p>
            <w:pPr>
              <w:jc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加盖企业公章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626" w:type="dxa"/>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3</w:t>
            </w:r>
          </w:p>
        </w:tc>
        <w:tc>
          <w:tcPr>
            <w:tcW w:w="2061" w:type="dxa"/>
            <w:vAlign w:val="center"/>
          </w:tcPr>
          <w:p>
            <w:pP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办理结售汇业务的内部管理规章制度</w:t>
            </w:r>
          </w:p>
        </w:tc>
        <w:tc>
          <w:tcPr>
            <w:tcW w:w="1418" w:type="dxa"/>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复印件</w:t>
            </w:r>
          </w:p>
        </w:tc>
        <w:tc>
          <w:tcPr>
            <w:tcW w:w="708" w:type="dxa"/>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1</w:t>
            </w:r>
          </w:p>
        </w:tc>
        <w:tc>
          <w:tcPr>
            <w:tcW w:w="1843" w:type="dxa"/>
            <w:vAlign w:val="top"/>
          </w:tcPr>
          <w:p>
            <w:pP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至少包括以下内容：结售汇业务操作规程、结售汇业务单证管理制度、结售汇业务统计报告制度、结售汇综合头寸管理制度、结售汇业务会计科目和核算办法、结售汇业务内部审计制度和从业人员岗位责任制度、结售汇业务授权管理制度。</w:t>
            </w:r>
          </w:p>
        </w:tc>
        <w:tc>
          <w:tcPr>
            <w:tcW w:w="1600" w:type="dxa"/>
            <w:vAlign w:val="center"/>
          </w:tcPr>
          <w:p>
            <w:pPr>
              <w:jc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加盖企业公章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6" w:type="dxa"/>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4</w:t>
            </w:r>
          </w:p>
        </w:tc>
        <w:tc>
          <w:tcPr>
            <w:tcW w:w="2061" w:type="dxa"/>
            <w:vAlign w:val="center"/>
          </w:tcPr>
          <w:p>
            <w:pP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具备办理业务所必需的软硬件设备的说明材料</w:t>
            </w:r>
          </w:p>
        </w:tc>
        <w:tc>
          <w:tcPr>
            <w:tcW w:w="14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原件或复印件</w:t>
            </w:r>
          </w:p>
        </w:tc>
        <w:tc>
          <w:tcPr>
            <w:tcW w:w="708" w:type="dxa"/>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1</w:t>
            </w:r>
          </w:p>
        </w:tc>
        <w:tc>
          <w:tcPr>
            <w:tcW w:w="1843" w:type="dxa"/>
            <w:vAlign w:val="top"/>
          </w:tcPr>
          <w:p>
            <w:pPr>
              <w:rPr>
                <w:rFonts w:ascii="Times New Roman" w:hAnsi="Times New Roman" w:eastAsia="仿宋_GB2312" w:cs="Times New Roman"/>
                <w:color w:val="auto"/>
                <w:sz w:val="24"/>
                <w:szCs w:val="24"/>
              </w:rPr>
            </w:pPr>
          </w:p>
        </w:tc>
        <w:tc>
          <w:tcPr>
            <w:tcW w:w="1600" w:type="dxa"/>
            <w:vAlign w:val="center"/>
          </w:tcPr>
          <w:p>
            <w:pPr>
              <w:jc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加盖企业公章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6"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5</w:t>
            </w:r>
          </w:p>
        </w:tc>
        <w:tc>
          <w:tcPr>
            <w:tcW w:w="2061" w:type="dxa"/>
            <w:vAlign w:val="center"/>
          </w:tcPr>
          <w:p>
            <w:pPr>
              <w:rPr>
                <w:rFonts w:hint="eastAsia"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拥有具备相应业务工作经验的高级管理人员和业务人员的说明材料</w:t>
            </w:r>
          </w:p>
        </w:tc>
        <w:tc>
          <w:tcPr>
            <w:tcW w:w="1418"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原件或复印件</w:t>
            </w:r>
          </w:p>
        </w:tc>
        <w:tc>
          <w:tcPr>
            <w:tcW w:w="708" w:type="dxa"/>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1</w:t>
            </w:r>
          </w:p>
        </w:tc>
        <w:tc>
          <w:tcPr>
            <w:tcW w:w="1843" w:type="dxa"/>
            <w:vAlign w:val="top"/>
          </w:tcPr>
          <w:p>
            <w:pPr>
              <w:rPr>
                <w:rFonts w:ascii="Times New Roman" w:hAnsi="Times New Roman" w:eastAsia="仿宋_GB2312" w:cs="Times New Roman"/>
                <w:color w:val="auto"/>
                <w:sz w:val="24"/>
                <w:szCs w:val="24"/>
              </w:rPr>
            </w:pPr>
          </w:p>
        </w:tc>
        <w:tc>
          <w:tcPr>
            <w:tcW w:w="1600" w:type="dxa"/>
            <w:vAlign w:val="center"/>
          </w:tcPr>
          <w:p>
            <w:pPr>
              <w:jc w:val="center"/>
              <w:rPr>
                <w:rFonts w:hint="eastAsia"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加盖企业公章</w:t>
            </w:r>
          </w:p>
        </w:tc>
      </w:tr>
    </w:tbl>
    <w:p>
      <w:pPr>
        <w:ind w:firstLine="602" w:firstLineChars="200"/>
        <w:rPr>
          <w:rFonts w:ascii="Times New Roman" w:hAnsi="Times New Roman" w:eastAsia="仿宋_GB2312" w:cs="Times New Roman"/>
          <w:b/>
          <w:bCs/>
          <w:color w:val="auto"/>
          <w:sz w:val="30"/>
          <w:szCs w:val="30"/>
        </w:rPr>
      </w:pPr>
      <w:r>
        <w:rPr>
          <w:rFonts w:ascii="Times New Roman" w:hAnsi="Times New Roman" w:eastAsia="仿宋_GB2312" w:cs="Times New Roman"/>
          <w:b/>
          <w:bCs/>
          <w:color w:val="auto"/>
          <w:sz w:val="30"/>
          <w:szCs w:val="30"/>
        </w:rPr>
        <w:t>2.</w:t>
      </w:r>
      <w:r>
        <w:rPr>
          <w:rFonts w:hint="eastAsia" w:ascii="Times New Roman" w:hAnsi="Times New Roman" w:eastAsia="仿宋_GB2312" w:cs="Times New Roman"/>
          <w:b/>
          <w:bCs/>
          <w:color w:val="auto"/>
          <w:sz w:val="30"/>
          <w:szCs w:val="30"/>
        </w:rPr>
        <w:t>保险机构申请衍生产品业务</w:t>
      </w:r>
    </w:p>
    <w:tbl>
      <w:tblPr>
        <w:tblStyle w:val="15"/>
        <w:tblW w:w="84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2627"/>
        <w:gridCol w:w="1235"/>
        <w:gridCol w:w="784"/>
        <w:gridCol w:w="2192"/>
        <w:gridCol w:w="12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7" w:type="dxa"/>
            <w:vAlign w:val="center"/>
          </w:tcPr>
          <w:p>
            <w:pPr>
              <w:jc w:val="center"/>
              <w:rPr>
                <w:rFonts w:ascii="Times New Roman" w:hAnsi="Times New Roman" w:eastAsia="仿宋_GB2312" w:cs="Times New Roman"/>
                <w:b/>
                <w:color w:val="auto"/>
                <w:sz w:val="24"/>
                <w:szCs w:val="24"/>
              </w:rPr>
            </w:pPr>
            <w:r>
              <w:rPr>
                <w:rFonts w:ascii="Times New Roman" w:hAnsi="Times New Roman" w:eastAsia="仿宋_GB2312" w:cs="Times New Roman"/>
                <w:b/>
                <w:color w:val="auto"/>
                <w:sz w:val="24"/>
                <w:szCs w:val="24"/>
              </w:rPr>
              <w:t>序号</w:t>
            </w:r>
          </w:p>
        </w:tc>
        <w:tc>
          <w:tcPr>
            <w:tcW w:w="2627" w:type="dxa"/>
            <w:vAlign w:val="center"/>
          </w:tcPr>
          <w:p>
            <w:pPr>
              <w:jc w:val="center"/>
              <w:rPr>
                <w:rFonts w:ascii="Times New Roman" w:hAnsi="Times New Roman" w:eastAsia="仿宋_GB2312" w:cs="Times New Roman"/>
                <w:b/>
                <w:color w:val="auto"/>
                <w:sz w:val="24"/>
                <w:szCs w:val="24"/>
              </w:rPr>
            </w:pPr>
            <w:r>
              <w:rPr>
                <w:rFonts w:ascii="Times New Roman" w:hAnsi="Times New Roman" w:eastAsia="仿宋_GB2312" w:cs="Times New Roman"/>
                <w:b/>
                <w:color w:val="auto"/>
                <w:sz w:val="24"/>
                <w:szCs w:val="24"/>
              </w:rPr>
              <w:t>提交材料名称</w:t>
            </w:r>
          </w:p>
        </w:tc>
        <w:tc>
          <w:tcPr>
            <w:tcW w:w="1235" w:type="dxa"/>
            <w:vAlign w:val="center"/>
          </w:tcPr>
          <w:p>
            <w:pPr>
              <w:jc w:val="center"/>
              <w:rPr>
                <w:rFonts w:ascii="Times New Roman" w:hAnsi="Times New Roman" w:eastAsia="仿宋_GB2312" w:cs="Times New Roman"/>
                <w:b/>
                <w:color w:val="auto"/>
                <w:sz w:val="24"/>
                <w:szCs w:val="24"/>
              </w:rPr>
            </w:pPr>
            <w:r>
              <w:rPr>
                <w:rFonts w:ascii="Times New Roman" w:hAnsi="Times New Roman" w:eastAsia="仿宋_GB2312" w:cs="Times New Roman"/>
                <w:b/>
                <w:color w:val="auto"/>
                <w:sz w:val="24"/>
                <w:szCs w:val="24"/>
              </w:rPr>
              <w:t>原件/</w:t>
            </w:r>
          </w:p>
          <w:p>
            <w:pPr>
              <w:jc w:val="center"/>
              <w:rPr>
                <w:rFonts w:ascii="Times New Roman" w:hAnsi="Times New Roman" w:eastAsia="仿宋_GB2312" w:cs="Times New Roman"/>
                <w:b/>
                <w:color w:val="auto"/>
                <w:sz w:val="24"/>
                <w:szCs w:val="24"/>
              </w:rPr>
            </w:pPr>
            <w:r>
              <w:rPr>
                <w:rFonts w:ascii="Times New Roman" w:hAnsi="Times New Roman" w:eastAsia="仿宋_GB2312" w:cs="Times New Roman"/>
                <w:b/>
                <w:color w:val="auto"/>
                <w:sz w:val="24"/>
                <w:szCs w:val="24"/>
              </w:rPr>
              <w:t>复印件</w:t>
            </w:r>
          </w:p>
        </w:tc>
        <w:tc>
          <w:tcPr>
            <w:tcW w:w="784" w:type="dxa"/>
            <w:vAlign w:val="center"/>
          </w:tcPr>
          <w:p>
            <w:pPr>
              <w:jc w:val="center"/>
              <w:rPr>
                <w:rFonts w:ascii="Times New Roman" w:hAnsi="Times New Roman" w:eastAsia="仿宋_GB2312" w:cs="Times New Roman"/>
                <w:b/>
                <w:color w:val="auto"/>
                <w:sz w:val="24"/>
                <w:szCs w:val="24"/>
              </w:rPr>
            </w:pPr>
            <w:r>
              <w:rPr>
                <w:rFonts w:ascii="Times New Roman" w:hAnsi="Times New Roman" w:eastAsia="仿宋_GB2312" w:cs="Times New Roman"/>
                <w:b/>
                <w:color w:val="auto"/>
                <w:sz w:val="24"/>
                <w:szCs w:val="24"/>
              </w:rPr>
              <w:t>份数</w:t>
            </w:r>
          </w:p>
        </w:tc>
        <w:tc>
          <w:tcPr>
            <w:tcW w:w="2192" w:type="dxa"/>
            <w:vAlign w:val="center"/>
          </w:tcPr>
          <w:p>
            <w:pPr>
              <w:jc w:val="center"/>
              <w:rPr>
                <w:rFonts w:ascii="Times New Roman" w:hAnsi="Times New Roman" w:eastAsia="仿宋_GB2312" w:cs="Times New Roman"/>
                <w:b/>
                <w:color w:val="auto"/>
                <w:sz w:val="24"/>
                <w:szCs w:val="24"/>
              </w:rPr>
            </w:pPr>
            <w:r>
              <w:rPr>
                <w:rFonts w:ascii="Times New Roman" w:hAnsi="Times New Roman" w:eastAsia="仿宋_GB2312" w:cs="Times New Roman"/>
                <w:b/>
                <w:color w:val="auto"/>
                <w:sz w:val="24"/>
                <w:szCs w:val="24"/>
              </w:rPr>
              <w:t>要求</w:t>
            </w:r>
          </w:p>
        </w:tc>
        <w:tc>
          <w:tcPr>
            <w:tcW w:w="1201" w:type="dxa"/>
            <w:vAlign w:val="top"/>
          </w:tcPr>
          <w:p>
            <w:pPr>
              <w:jc w:val="center"/>
              <w:rPr>
                <w:rFonts w:ascii="Times New Roman" w:hAnsi="Times New Roman" w:eastAsia="仿宋_GB2312" w:cs="Times New Roman"/>
                <w:b/>
                <w:color w:val="auto"/>
                <w:sz w:val="24"/>
                <w:szCs w:val="24"/>
              </w:rPr>
            </w:pPr>
            <w:r>
              <w:rPr>
                <w:rFonts w:ascii="Times New Roman" w:hAnsi="Times New Roman" w:eastAsia="仿宋_GB2312" w:cs="Times New Roman"/>
                <w:b/>
                <w:color w:val="auto"/>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7" w:type="dxa"/>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1</w:t>
            </w:r>
          </w:p>
        </w:tc>
        <w:tc>
          <w:tcPr>
            <w:tcW w:w="2627" w:type="dxa"/>
            <w:vAlign w:val="center"/>
          </w:tcPr>
          <w:p>
            <w:pPr>
              <w:jc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申请报告、可行性报告及业务计划书</w:t>
            </w:r>
          </w:p>
        </w:tc>
        <w:tc>
          <w:tcPr>
            <w:tcW w:w="1235" w:type="dxa"/>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原件</w:t>
            </w:r>
          </w:p>
        </w:tc>
        <w:tc>
          <w:tcPr>
            <w:tcW w:w="784" w:type="dxa"/>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1</w:t>
            </w:r>
          </w:p>
        </w:tc>
        <w:tc>
          <w:tcPr>
            <w:tcW w:w="2192" w:type="dxa"/>
            <w:vAlign w:val="center"/>
          </w:tcPr>
          <w:p>
            <w:pPr>
              <w:rPr>
                <w:rFonts w:ascii="Times New Roman" w:hAnsi="Times New Roman" w:eastAsia="仿宋_GB2312" w:cs="Times New Roman"/>
                <w:color w:val="auto"/>
                <w:sz w:val="24"/>
                <w:szCs w:val="24"/>
              </w:rPr>
            </w:pPr>
          </w:p>
        </w:tc>
        <w:tc>
          <w:tcPr>
            <w:tcW w:w="1201" w:type="dxa"/>
            <w:vAlign w:val="center"/>
          </w:tcPr>
          <w:p>
            <w:pPr>
              <w:jc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加盖企业公章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7" w:type="dxa"/>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2</w:t>
            </w:r>
          </w:p>
        </w:tc>
        <w:tc>
          <w:tcPr>
            <w:tcW w:w="2627" w:type="dxa"/>
            <w:vAlign w:val="center"/>
          </w:tcPr>
          <w:p>
            <w:pP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衍生产品业务内部管理规章制度</w:t>
            </w:r>
          </w:p>
        </w:tc>
        <w:tc>
          <w:tcPr>
            <w:tcW w:w="1235" w:type="dxa"/>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复印件</w:t>
            </w:r>
          </w:p>
        </w:tc>
        <w:tc>
          <w:tcPr>
            <w:tcW w:w="784" w:type="dxa"/>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1</w:t>
            </w:r>
          </w:p>
        </w:tc>
        <w:tc>
          <w:tcPr>
            <w:tcW w:w="2192" w:type="dxa"/>
            <w:vAlign w:val="center"/>
          </w:tcPr>
          <w:p>
            <w:pP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至少包括以下内容：业务操作规程，包括交易受理、客户评估、单证审核等业务流程和操作标准；产品定价模型，包括定价方法和各项参数的选取标准及来源；风险管理制度，包括风险管理架构、风险模型指标及量化管理指标、风险缓释措施、头寸平盘机制；会计核算制度，包括科目设置和会计核算方法；统计报告制度，包括数据采集渠道和操作程序。</w:t>
            </w:r>
          </w:p>
        </w:tc>
        <w:tc>
          <w:tcPr>
            <w:tcW w:w="1201" w:type="dxa"/>
            <w:vAlign w:val="center"/>
          </w:tcPr>
          <w:p>
            <w:pPr>
              <w:jc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加盖企业公章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457" w:type="dxa"/>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3</w:t>
            </w:r>
          </w:p>
        </w:tc>
        <w:tc>
          <w:tcPr>
            <w:tcW w:w="2627" w:type="dxa"/>
            <w:vAlign w:val="center"/>
          </w:tcPr>
          <w:p>
            <w:pP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主管人员和主要交易人员名单、履历</w:t>
            </w:r>
          </w:p>
        </w:tc>
        <w:tc>
          <w:tcPr>
            <w:tcW w:w="1235" w:type="dxa"/>
            <w:vAlign w:val="center"/>
          </w:tcPr>
          <w:p>
            <w:pPr>
              <w:jc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原件或复印件</w:t>
            </w:r>
          </w:p>
        </w:tc>
        <w:tc>
          <w:tcPr>
            <w:tcW w:w="784" w:type="dxa"/>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1</w:t>
            </w:r>
          </w:p>
        </w:tc>
        <w:tc>
          <w:tcPr>
            <w:tcW w:w="2192" w:type="dxa"/>
            <w:vAlign w:val="center"/>
          </w:tcPr>
          <w:p>
            <w:pPr>
              <w:rPr>
                <w:rFonts w:ascii="Times New Roman" w:hAnsi="Times New Roman" w:eastAsia="仿宋_GB2312" w:cs="Times New Roman"/>
                <w:color w:val="auto"/>
                <w:sz w:val="24"/>
                <w:szCs w:val="24"/>
              </w:rPr>
            </w:pPr>
          </w:p>
        </w:tc>
        <w:tc>
          <w:tcPr>
            <w:tcW w:w="1201" w:type="dxa"/>
            <w:vAlign w:val="center"/>
          </w:tcPr>
          <w:p>
            <w:pPr>
              <w:jc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加盖企业公章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7"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4</w:t>
            </w:r>
          </w:p>
        </w:tc>
        <w:tc>
          <w:tcPr>
            <w:tcW w:w="2627" w:type="dxa"/>
            <w:vAlign w:val="center"/>
          </w:tcPr>
          <w:p>
            <w:pPr>
              <w:rPr>
                <w:rFonts w:hint="eastAsia"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符合银行保险监督管理部门有关金融衍生产品交易业务资格规定的证明文件</w:t>
            </w:r>
          </w:p>
        </w:tc>
        <w:tc>
          <w:tcPr>
            <w:tcW w:w="1235" w:type="dxa"/>
            <w:vAlign w:val="center"/>
          </w:tcPr>
          <w:p>
            <w:pPr>
              <w:jc w:val="center"/>
              <w:rPr>
                <w:rFonts w:hint="eastAsia"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复印件</w:t>
            </w:r>
          </w:p>
        </w:tc>
        <w:tc>
          <w:tcPr>
            <w:tcW w:w="784" w:type="dxa"/>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1</w:t>
            </w:r>
          </w:p>
        </w:tc>
        <w:tc>
          <w:tcPr>
            <w:tcW w:w="2192" w:type="dxa"/>
            <w:vAlign w:val="center"/>
          </w:tcPr>
          <w:p>
            <w:pPr>
              <w:rPr>
                <w:rFonts w:ascii="Times New Roman" w:hAnsi="Times New Roman" w:eastAsia="仿宋_GB2312" w:cs="Times New Roman"/>
                <w:color w:val="auto"/>
                <w:sz w:val="24"/>
                <w:szCs w:val="24"/>
              </w:rPr>
            </w:pPr>
          </w:p>
        </w:tc>
        <w:tc>
          <w:tcPr>
            <w:tcW w:w="1201" w:type="dxa"/>
            <w:vAlign w:val="center"/>
          </w:tcPr>
          <w:p>
            <w:pPr>
              <w:jc w:val="center"/>
              <w:rPr>
                <w:rFonts w:hint="eastAsia"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加盖企业公章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7" w:type="dxa"/>
            <w:vAlign w:val="center"/>
          </w:tcPr>
          <w:p>
            <w:pPr>
              <w:jc w:val="center"/>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5</w:t>
            </w:r>
          </w:p>
        </w:tc>
        <w:tc>
          <w:tcPr>
            <w:tcW w:w="2627" w:type="dxa"/>
            <w:vAlign w:val="center"/>
          </w:tcPr>
          <w:p>
            <w:pPr>
              <w:rPr>
                <w:rFonts w:hint="eastAsia"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根据拟开办各类衍生产品业务的实际特征，提交具有针对性与适用性的文件和资料。</w:t>
            </w:r>
          </w:p>
        </w:tc>
        <w:tc>
          <w:tcPr>
            <w:tcW w:w="1235" w:type="dxa"/>
            <w:vAlign w:val="center"/>
          </w:tcPr>
          <w:p>
            <w:pPr>
              <w:jc w:val="center"/>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原件或复印件</w:t>
            </w:r>
          </w:p>
        </w:tc>
        <w:tc>
          <w:tcPr>
            <w:tcW w:w="784" w:type="dxa"/>
            <w:vAlign w:val="center"/>
          </w:tcPr>
          <w:p>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1</w:t>
            </w:r>
          </w:p>
        </w:tc>
        <w:tc>
          <w:tcPr>
            <w:tcW w:w="2192" w:type="dxa"/>
            <w:vAlign w:val="center"/>
          </w:tcPr>
          <w:p>
            <w:pPr>
              <w:rPr>
                <w:rFonts w:ascii="Times New Roman" w:hAnsi="Times New Roman" w:eastAsia="仿宋_GB2312" w:cs="Times New Roman"/>
                <w:color w:val="auto"/>
                <w:sz w:val="24"/>
                <w:szCs w:val="24"/>
              </w:rPr>
            </w:pPr>
          </w:p>
        </w:tc>
        <w:tc>
          <w:tcPr>
            <w:tcW w:w="1201" w:type="dxa"/>
            <w:vAlign w:val="center"/>
          </w:tcPr>
          <w:p>
            <w:pPr>
              <w:jc w:val="center"/>
              <w:rPr>
                <w:rFonts w:hint="eastAsia"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加盖企业公章</w:t>
            </w:r>
          </w:p>
        </w:tc>
      </w:tr>
    </w:tbl>
    <w:p>
      <w:pPr>
        <w:widowControl w:val="0"/>
        <w:numPr>
          <w:ilvl w:val="0"/>
          <w:numId w:val="0"/>
        </w:numPr>
        <w:wordWrap/>
        <w:adjustRightInd/>
        <w:snapToGrid/>
        <w:spacing w:line="540" w:lineRule="exact"/>
        <w:ind w:firstLine="600" w:firstLineChars="200"/>
        <w:textAlignment w:val="auto"/>
        <w:outlineLvl w:val="2"/>
        <w:rPr>
          <w:rFonts w:hint="eastAsia" w:ascii="楷体_GB2312" w:hAnsi="楷体_GB2312" w:eastAsia="楷体_GB2312" w:cs="楷体_GB2312"/>
          <w:b w:val="0"/>
          <w:bCs w:val="0"/>
          <w:strike w:val="0"/>
          <w:dstrike w:val="0"/>
          <w:color w:val="auto"/>
          <w:sz w:val="30"/>
          <w:szCs w:val="30"/>
          <w:highlight w:val="none"/>
          <w:lang w:val="en-US" w:eastAsia="zh-CN"/>
        </w:rPr>
      </w:pPr>
      <w:bookmarkStart w:id="0" w:name="_Toc1949220384"/>
      <w:r>
        <w:rPr>
          <w:rFonts w:hint="eastAsia" w:ascii="楷体_GB2312" w:hAnsi="楷体_GB2312" w:eastAsia="楷体_GB2312" w:cs="楷体_GB2312"/>
          <w:b w:val="0"/>
          <w:bCs w:val="0"/>
          <w:strike w:val="0"/>
          <w:dstrike w:val="0"/>
          <w:color w:val="auto"/>
          <w:sz w:val="30"/>
          <w:szCs w:val="30"/>
          <w:highlight w:val="none"/>
          <w:lang w:val="en-US" w:eastAsia="zh-CN"/>
        </w:rPr>
        <w:t>（二）规定申请材料的依据</w:t>
      </w:r>
      <w:bookmarkEnd w:id="0"/>
    </w:p>
    <w:p>
      <w:pPr>
        <w:widowControl w:val="0"/>
        <w:wordWrap/>
        <w:adjustRightInd/>
        <w:snapToGrid/>
        <w:spacing w:line="360" w:lineRule="auto"/>
        <w:ind w:left="0" w:leftChars="0" w:right="0" w:firstLine="600" w:firstLineChars="200"/>
        <w:jc w:val="both"/>
        <w:textAlignment w:val="auto"/>
        <w:outlineLvl w:val="9"/>
        <w:rPr>
          <w:rFonts w:hint="eastAsia" w:ascii="仿宋_GB2312" w:hAnsi="仿宋_GB2312" w:eastAsia="仿宋_GB2312" w:cs="仿宋_GB2312"/>
          <w:b w:val="0"/>
          <w:bCs w:val="0"/>
          <w:strike w:val="0"/>
          <w:dstrike w:val="0"/>
          <w:color w:val="auto"/>
          <w:sz w:val="30"/>
          <w:szCs w:val="30"/>
          <w:highlight w:val="none"/>
          <w:lang w:val="en-US" w:eastAsia="zh-CN"/>
        </w:rPr>
      </w:pPr>
      <w:r>
        <w:rPr>
          <w:rFonts w:hint="eastAsia" w:ascii="仿宋_GB2312" w:hAnsi="仿宋_GB2312" w:eastAsia="仿宋_GB2312" w:cs="仿宋_GB2312"/>
          <w:b w:val="0"/>
          <w:bCs w:val="0"/>
          <w:strike w:val="0"/>
          <w:dstrike w:val="0"/>
          <w:color w:val="auto"/>
          <w:sz w:val="30"/>
          <w:szCs w:val="30"/>
          <w:highlight w:val="none"/>
          <w:lang w:val="en-US" w:eastAsia="zh-CN"/>
        </w:rPr>
        <w:t>《银行办理结售汇业务管理办法实施细则》（汇发〔2014〕53号文印发）第九条银行总行申请即期结售汇业务，应提交下列文件和资料：（一）办理结售汇业务的申请报告。（</w:t>
      </w:r>
      <w:r>
        <w:rPr>
          <w:rFonts w:hint="eastAsia" w:ascii="仿宋_GB2312" w:hAnsi="仿宋_GB2312" w:eastAsia="仿宋_GB2312" w:cs="仿宋_GB2312"/>
          <w:b w:val="0"/>
          <w:bCs w:val="0"/>
          <w:strike w:val="0"/>
          <w:dstrike w:val="0"/>
          <w:color w:val="auto"/>
          <w:sz w:val="30"/>
          <w:szCs w:val="30"/>
          <w:highlight w:val="none"/>
          <w:lang w:eastAsia="zh-CN"/>
        </w:rPr>
        <w:t>二</w:t>
      </w:r>
      <w:r>
        <w:rPr>
          <w:rFonts w:hint="eastAsia" w:ascii="仿宋_GB2312" w:hAnsi="仿宋_GB2312" w:eastAsia="仿宋_GB2312" w:cs="仿宋_GB2312"/>
          <w:b w:val="0"/>
          <w:bCs w:val="0"/>
          <w:strike w:val="0"/>
          <w:dstrike w:val="0"/>
          <w:color w:val="auto"/>
          <w:sz w:val="30"/>
          <w:szCs w:val="30"/>
          <w:highlight w:val="none"/>
          <w:lang w:val="en-US" w:eastAsia="zh-CN"/>
        </w:rPr>
        <w:t>）《金融许可证》复印件。</w:t>
      </w:r>
      <w:r>
        <w:rPr>
          <w:rFonts w:hint="eastAsia" w:ascii="仿宋_GB2312" w:hAnsi="仿宋_GB2312" w:eastAsia="仿宋_GB2312" w:cs="仿宋_GB2312"/>
          <w:b w:val="0"/>
          <w:bCs w:val="0"/>
          <w:strike w:val="0"/>
          <w:dstrike w:val="0"/>
          <w:color w:val="auto"/>
          <w:sz w:val="30"/>
          <w:szCs w:val="30"/>
          <w:highlight w:val="none"/>
          <w:lang w:eastAsia="zh-CN"/>
        </w:rPr>
        <w:t>（三</w:t>
      </w:r>
      <w:r>
        <w:rPr>
          <w:rFonts w:hint="eastAsia" w:ascii="仿宋_GB2312" w:hAnsi="仿宋_GB2312" w:eastAsia="仿宋_GB2312" w:cs="仿宋_GB2312"/>
          <w:b w:val="0"/>
          <w:bCs w:val="0"/>
          <w:strike w:val="0"/>
          <w:dstrike w:val="0"/>
          <w:color w:val="auto"/>
          <w:sz w:val="30"/>
          <w:szCs w:val="30"/>
          <w:highlight w:val="none"/>
          <w:lang w:val="en-US" w:eastAsia="zh-CN"/>
        </w:rPr>
        <w:t>）办理结售汇业务的内部管理规章制度，应至少包括以下内容：结售汇业务操作规程、结售汇业务单证管理制度、结售汇业务统计报告制度、结售汇综合头寸管理制度、结售汇业务会计科目和核算办法、结售汇业务内部审计制度和从业人员岗位责任制度、结售汇业务授权管理制度。（四）具备办理业务所必需的软硬件设备的说明材料。（五）拥有具备相应业务工作经验的高级管理人员和业务人员的说明材料。（六）需要经银行业监督管理部门批准外汇业务经营资格的，还应提交外汇业务许可文件的复印件。</w:t>
      </w:r>
    </w:p>
    <w:p>
      <w:pPr>
        <w:widowControl w:val="0"/>
        <w:wordWrap/>
        <w:adjustRightInd/>
        <w:snapToGrid/>
        <w:spacing w:line="360" w:lineRule="auto"/>
        <w:ind w:left="0" w:leftChars="0" w:right="0" w:firstLine="600" w:firstLineChars="200"/>
        <w:jc w:val="both"/>
        <w:textAlignment w:val="auto"/>
        <w:outlineLvl w:val="9"/>
        <w:rPr>
          <w:rFonts w:hint="eastAsia" w:ascii="仿宋_GB2312" w:hAnsi="仿宋_GB2312" w:eastAsia="仿宋_GB2312" w:cs="仿宋_GB2312"/>
          <w:b w:val="0"/>
          <w:bCs w:val="0"/>
          <w:strike w:val="0"/>
          <w:dstrike w:val="0"/>
          <w:color w:val="auto"/>
          <w:spacing w:val="-6"/>
          <w:sz w:val="30"/>
          <w:szCs w:val="30"/>
          <w:highlight w:val="none"/>
          <w:lang w:val="en-US" w:eastAsia="zh-CN"/>
        </w:rPr>
      </w:pPr>
      <w:r>
        <w:rPr>
          <w:rFonts w:hint="eastAsia" w:ascii="仿宋_GB2312" w:hAnsi="仿宋_GB2312" w:eastAsia="仿宋_GB2312" w:cs="仿宋_GB2312"/>
          <w:b w:val="0"/>
          <w:bCs w:val="0"/>
          <w:strike w:val="0"/>
          <w:dstrike w:val="0"/>
          <w:color w:val="auto"/>
          <w:sz w:val="30"/>
          <w:szCs w:val="30"/>
          <w:highlight w:val="none"/>
          <w:lang w:val="en-US" w:eastAsia="zh-CN"/>
        </w:rPr>
        <w:t>《银行办理结售汇业务管理办法实施细则》（汇发〔2014〕53号文印发）</w:t>
      </w:r>
      <w:r>
        <w:rPr>
          <w:rFonts w:hint="eastAsia" w:ascii="仿宋_GB2312" w:hAnsi="仿宋_GB2312" w:eastAsia="仿宋_GB2312" w:cs="仿宋_GB2312"/>
          <w:b w:val="0"/>
          <w:bCs w:val="0"/>
          <w:strike w:val="0"/>
          <w:dstrike w:val="0"/>
          <w:color w:val="auto"/>
          <w:spacing w:val="-6"/>
          <w:sz w:val="30"/>
          <w:szCs w:val="30"/>
          <w:highlight w:val="none"/>
          <w:lang w:val="en-US" w:eastAsia="zh-CN"/>
        </w:rPr>
        <w:t>第十条银行总行申请衍生产品业务，应提交下列文件和资料：</w:t>
      </w:r>
    </w:p>
    <w:p>
      <w:pPr>
        <w:widowControl w:val="0"/>
        <w:wordWrap/>
        <w:adjustRightInd/>
        <w:snapToGrid/>
        <w:spacing w:line="360" w:lineRule="auto"/>
        <w:ind w:left="0" w:leftChars="0" w:right="0" w:firstLine="600" w:firstLineChars="200"/>
        <w:jc w:val="both"/>
        <w:textAlignment w:val="auto"/>
        <w:outlineLvl w:val="9"/>
        <w:rPr>
          <w:rFonts w:hint="eastAsia" w:ascii="仿宋_GB2312" w:hAnsi="仿宋_GB2312" w:eastAsia="仿宋_GB2312" w:cs="仿宋_GB2312"/>
          <w:b w:val="0"/>
          <w:bCs w:val="0"/>
          <w:strike w:val="0"/>
          <w:dstrike w:val="0"/>
          <w:color w:val="auto"/>
          <w:sz w:val="30"/>
          <w:szCs w:val="30"/>
          <w:highlight w:val="none"/>
          <w:lang w:val="en-US" w:eastAsia="zh-CN"/>
        </w:rPr>
      </w:pPr>
      <w:r>
        <w:rPr>
          <w:rFonts w:hint="eastAsia" w:ascii="仿宋_GB2312" w:hAnsi="仿宋_GB2312" w:eastAsia="仿宋_GB2312" w:cs="仿宋_GB2312"/>
          <w:b w:val="0"/>
          <w:bCs w:val="0"/>
          <w:strike w:val="0"/>
          <w:dstrike w:val="0"/>
          <w:color w:val="auto"/>
          <w:sz w:val="30"/>
          <w:szCs w:val="30"/>
          <w:highlight w:val="none"/>
          <w:lang w:val="en-US" w:eastAsia="zh-CN"/>
        </w:rPr>
        <w:t>（一）申请报告、可行性报告及业务计划书。</w:t>
      </w:r>
    </w:p>
    <w:p>
      <w:pPr>
        <w:widowControl w:val="0"/>
        <w:wordWrap/>
        <w:adjustRightInd/>
        <w:snapToGrid/>
        <w:spacing w:line="360" w:lineRule="auto"/>
        <w:ind w:left="0" w:leftChars="0" w:right="0" w:firstLine="576" w:firstLineChars="200"/>
        <w:jc w:val="both"/>
        <w:textAlignment w:val="auto"/>
        <w:outlineLvl w:val="9"/>
        <w:rPr>
          <w:rFonts w:hint="eastAsia" w:ascii="仿宋_GB2312" w:hAnsi="仿宋_GB2312" w:eastAsia="仿宋_GB2312" w:cs="仿宋_GB2312"/>
          <w:b w:val="0"/>
          <w:bCs w:val="0"/>
          <w:strike w:val="0"/>
          <w:dstrike w:val="0"/>
          <w:color w:val="auto"/>
          <w:spacing w:val="-6"/>
          <w:sz w:val="30"/>
          <w:szCs w:val="30"/>
          <w:highlight w:val="none"/>
          <w:lang w:val="en-US" w:eastAsia="zh-CN"/>
        </w:rPr>
      </w:pPr>
      <w:r>
        <w:rPr>
          <w:rFonts w:hint="eastAsia" w:ascii="仿宋_GB2312" w:hAnsi="仿宋_GB2312" w:eastAsia="仿宋_GB2312" w:cs="仿宋_GB2312"/>
          <w:b w:val="0"/>
          <w:bCs w:val="0"/>
          <w:strike w:val="0"/>
          <w:dstrike w:val="0"/>
          <w:color w:val="auto"/>
          <w:spacing w:val="-6"/>
          <w:sz w:val="30"/>
          <w:szCs w:val="30"/>
          <w:highlight w:val="none"/>
          <w:lang w:val="en-US" w:eastAsia="zh-CN"/>
        </w:rPr>
        <w:t>（二）衍生产品业务内部管理规章制度，应当至少包括以下内容：1.业务操作规程，包括交易受理、客户评估、单证审核等业务流程和操作标准；2.产品定价模型，包括定价方法和各项参数的选取标准及来源；3.风险管理制度，包括风险管理架构、风险模型指标及量化管理指标、风险缓释措施、头寸平盘机制；4.会计核算制度，包括科目设置和会计核算方法；5.统计报告制度，包括数据采集渠道和操作程序。</w:t>
      </w:r>
    </w:p>
    <w:p>
      <w:pPr>
        <w:widowControl w:val="0"/>
        <w:wordWrap/>
        <w:adjustRightInd/>
        <w:snapToGrid/>
        <w:spacing w:line="360" w:lineRule="auto"/>
        <w:ind w:left="0" w:leftChars="0" w:right="0" w:firstLine="600" w:firstLineChars="200"/>
        <w:jc w:val="both"/>
        <w:textAlignment w:val="auto"/>
        <w:outlineLvl w:val="9"/>
        <w:rPr>
          <w:rFonts w:hint="eastAsia" w:ascii="仿宋_GB2312" w:hAnsi="仿宋_GB2312" w:eastAsia="仿宋_GB2312" w:cs="仿宋_GB2312"/>
          <w:b w:val="0"/>
          <w:bCs w:val="0"/>
          <w:strike w:val="0"/>
          <w:dstrike w:val="0"/>
          <w:color w:val="auto"/>
          <w:sz w:val="30"/>
          <w:szCs w:val="30"/>
          <w:highlight w:val="none"/>
          <w:lang w:val="en-US" w:eastAsia="zh-CN"/>
        </w:rPr>
      </w:pPr>
      <w:r>
        <w:rPr>
          <w:rFonts w:hint="eastAsia" w:ascii="仿宋_GB2312" w:hAnsi="仿宋_GB2312" w:eastAsia="仿宋_GB2312" w:cs="仿宋_GB2312"/>
          <w:b w:val="0"/>
          <w:bCs w:val="0"/>
          <w:strike w:val="0"/>
          <w:dstrike w:val="0"/>
          <w:color w:val="auto"/>
          <w:sz w:val="30"/>
          <w:szCs w:val="30"/>
          <w:highlight w:val="none"/>
          <w:lang w:val="en-US" w:eastAsia="zh-CN"/>
        </w:rPr>
        <w:t>（三）主管人员和主要交易人员名单、履历。</w:t>
      </w:r>
    </w:p>
    <w:p>
      <w:pPr>
        <w:widowControl w:val="0"/>
        <w:wordWrap/>
        <w:adjustRightInd/>
        <w:snapToGrid/>
        <w:spacing w:line="360" w:lineRule="auto"/>
        <w:ind w:left="0" w:leftChars="0" w:right="0" w:firstLine="600" w:firstLineChars="200"/>
        <w:jc w:val="both"/>
        <w:textAlignment w:val="auto"/>
        <w:outlineLvl w:val="9"/>
        <w:rPr>
          <w:rFonts w:hint="eastAsia" w:ascii="仿宋_GB2312" w:hAnsi="仿宋_GB2312" w:eastAsia="仿宋_GB2312" w:cs="仿宋_GB2312"/>
          <w:b w:val="0"/>
          <w:bCs w:val="0"/>
          <w:strike w:val="0"/>
          <w:dstrike w:val="0"/>
          <w:color w:val="auto"/>
          <w:sz w:val="30"/>
          <w:szCs w:val="30"/>
          <w:highlight w:val="none"/>
          <w:lang w:val="en-US" w:eastAsia="zh-CN"/>
        </w:rPr>
      </w:pPr>
      <w:r>
        <w:rPr>
          <w:rFonts w:hint="eastAsia" w:ascii="仿宋_GB2312" w:hAnsi="仿宋_GB2312" w:eastAsia="仿宋_GB2312" w:cs="仿宋_GB2312"/>
          <w:b w:val="0"/>
          <w:bCs w:val="0"/>
          <w:strike w:val="0"/>
          <w:dstrike w:val="0"/>
          <w:color w:val="auto"/>
          <w:sz w:val="30"/>
          <w:szCs w:val="30"/>
          <w:highlight w:val="none"/>
          <w:lang w:val="en-US" w:eastAsia="zh-CN"/>
        </w:rPr>
        <w:t>（四）符合银行业监督管理部门有关金融衍生产品交易业务资格规定的证明文件。</w:t>
      </w:r>
    </w:p>
    <w:p>
      <w:pPr>
        <w:widowControl w:val="0"/>
        <w:wordWrap/>
        <w:adjustRightInd/>
        <w:snapToGrid/>
        <w:spacing w:line="360" w:lineRule="auto"/>
        <w:ind w:left="0" w:leftChars="0" w:right="0" w:firstLine="600" w:firstLineChars="200"/>
        <w:jc w:val="both"/>
        <w:textAlignment w:val="auto"/>
        <w:outlineLvl w:val="9"/>
        <w:rPr>
          <w:rFonts w:hint="eastAsia" w:ascii="仿宋_GB2312" w:hAnsi="仿宋_GB2312" w:eastAsia="仿宋_GB2312" w:cs="仿宋_GB2312"/>
          <w:b w:val="0"/>
          <w:bCs w:val="0"/>
          <w:strike w:val="0"/>
          <w:dstrike w:val="0"/>
          <w:color w:val="auto"/>
          <w:sz w:val="30"/>
          <w:szCs w:val="30"/>
          <w:highlight w:val="none"/>
          <w:lang w:val="en-US" w:eastAsia="zh-CN"/>
        </w:rPr>
      </w:pPr>
      <w:r>
        <w:rPr>
          <w:rFonts w:hint="eastAsia" w:ascii="仿宋_GB2312" w:hAnsi="仿宋_GB2312" w:eastAsia="仿宋_GB2312" w:cs="仿宋_GB2312"/>
          <w:b w:val="0"/>
          <w:bCs w:val="0"/>
          <w:strike w:val="0"/>
          <w:dstrike w:val="0"/>
          <w:color w:val="auto"/>
          <w:sz w:val="30"/>
          <w:szCs w:val="30"/>
          <w:highlight w:val="none"/>
          <w:lang w:val="en-US" w:eastAsia="zh-CN"/>
        </w:rPr>
        <w:t>银行应当根据拟开办各类衍生产品业务的实际特征，提交具有针对性与适用性的文件和资料。</w:t>
      </w:r>
    </w:p>
    <w:p>
      <w:pPr>
        <w:pStyle w:val="2"/>
        <w:widowControl w:val="0"/>
        <w:wordWrap/>
        <w:adjustRightInd/>
        <w:snapToGrid/>
        <w:spacing w:line="360" w:lineRule="auto"/>
        <w:ind w:left="0" w:leftChars="0" w:right="0" w:firstLine="600" w:firstLineChars="200"/>
        <w:jc w:val="both"/>
        <w:textAlignment w:val="auto"/>
        <w:outlineLvl w:val="9"/>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《银行办理结售汇业务管理办法实施细则》（汇发〔2014〕53号文印发）第五十四条非银行机构办理结售汇业务，参照本细则执行,国家外汇管理局另有规定的除外。</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十、</w:t>
      </w:r>
      <w:r>
        <w:rPr>
          <w:rFonts w:ascii="Times New Roman" w:hAnsi="Times New Roman" w:eastAsia="黑体" w:cs="Times New Roman"/>
          <w:color w:val="auto"/>
          <w:sz w:val="30"/>
          <w:szCs w:val="30"/>
        </w:rPr>
        <w:t>申请接受</w:t>
      </w:r>
    </w:p>
    <w:p>
      <w:pPr>
        <w:adjustRightInd w:val="0"/>
        <w:snapToGrid w:val="0"/>
        <w:spacing w:line="360" w:lineRule="auto"/>
        <w:ind w:firstLine="600" w:firstLineChars="200"/>
        <w:rPr>
          <w:rFonts w:hint="eastAsia" w:ascii="仿宋_GB2312" w:hAnsi="Times New Roman" w:eastAsia="仿宋_GB2312"/>
          <w:color w:val="auto"/>
          <w:sz w:val="30"/>
          <w:szCs w:val="30"/>
        </w:rPr>
      </w:pPr>
      <w:r>
        <w:rPr>
          <w:rFonts w:hint="eastAsia" w:ascii="仿宋_GB2312" w:hAnsi="Times New Roman" w:eastAsia="仿宋_GB2312"/>
          <w:color w:val="auto"/>
          <w:sz w:val="30"/>
          <w:szCs w:val="30"/>
        </w:rPr>
        <w:t>申请人可通过注册所在地国家外汇管理局分局提交申请。</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十一、</w:t>
      </w:r>
      <w:r>
        <w:rPr>
          <w:rFonts w:ascii="Times New Roman" w:hAnsi="Times New Roman" w:eastAsia="黑体" w:cs="Times New Roman"/>
          <w:color w:val="auto"/>
          <w:sz w:val="30"/>
          <w:szCs w:val="30"/>
        </w:rPr>
        <w:t>基本办理流程</w:t>
      </w:r>
    </w:p>
    <w:p>
      <w:pPr>
        <w:adjustRightInd w:val="0"/>
        <w:snapToGrid w:val="0"/>
        <w:spacing w:line="360" w:lineRule="auto"/>
        <w:ind w:firstLine="600" w:firstLineChars="200"/>
        <w:rPr>
          <w:rFonts w:hint="eastAsia" w:ascii="楷体_GB2312" w:hAnsi="楷体_GB2312" w:eastAsia="楷体_GB2312" w:cs="楷体_GB2312"/>
          <w:color w:val="auto"/>
          <w:sz w:val="30"/>
          <w:szCs w:val="30"/>
        </w:rPr>
      </w:pPr>
      <w:r>
        <w:rPr>
          <w:rFonts w:hint="eastAsia" w:ascii="楷体_GB2312" w:hAnsi="楷体_GB2312" w:eastAsia="楷体_GB2312" w:cs="楷体_GB2312"/>
          <w:color w:val="auto"/>
          <w:sz w:val="30"/>
          <w:szCs w:val="30"/>
        </w:rPr>
        <w:t>（一）申请人提交申请。</w:t>
      </w:r>
    </w:p>
    <w:p>
      <w:pPr>
        <w:adjustRightInd w:val="0"/>
        <w:snapToGrid w:val="0"/>
        <w:spacing w:line="360" w:lineRule="auto"/>
        <w:ind w:firstLine="600" w:firstLineChars="200"/>
        <w:rPr>
          <w:rFonts w:hint="eastAsia" w:ascii="楷体_GB2312" w:hAnsi="楷体_GB2312" w:eastAsia="楷体_GB2312" w:cs="楷体_GB2312"/>
          <w:color w:val="auto"/>
          <w:sz w:val="30"/>
          <w:szCs w:val="30"/>
        </w:rPr>
      </w:pPr>
      <w:r>
        <w:rPr>
          <w:rFonts w:hint="eastAsia" w:ascii="楷体_GB2312" w:hAnsi="楷体_GB2312" w:eastAsia="楷体_GB2312" w:cs="楷体_GB2312"/>
          <w:color w:val="auto"/>
          <w:sz w:val="30"/>
          <w:szCs w:val="30"/>
        </w:rPr>
        <w:t>（二）审批机构受理/不予受理。</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申请事项属于本局职责范围，但依法不需要取得行政许可的，即时告知不受理，出具不予受理行政许可通知书；</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申请事项不属于本局职责范围，即时作出不予受理的决定，出具不予受理行政许可通知书，并告知申请人向有关行政机关申请；</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申请材料不齐全或不符合法定形式的，当场或在收到申请材料之日起5个工作日内作出要求补正材料的决定，出具补正告知书，一次性告知需要补正的全部内容。申请人拒不补正，或者自补正告知书送达之日起30日内未能提交全部且符合法定形式的补正材料的，不予受理，出具不予受理行政许可通知书。</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申请事项属于本局职责范围，申请材料齐全、符合法定形式，或申请人按照要求提交全部补正申请材料的，受理行政许可申请，出具行政许可受理通知书。</w:t>
      </w:r>
    </w:p>
    <w:p>
      <w:pPr>
        <w:adjustRightInd w:val="0"/>
        <w:snapToGrid w:val="0"/>
        <w:spacing w:line="360" w:lineRule="auto"/>
        <w:ind w:firstLine="600" w:firstLineChars="200"/>
        <w:rPr>
          <w:rFonts w:hint="eastAsia" w:ascii="楷体_GB2312" w:hAnsi="楷体_GB2312" w:eastAsia="楷体_GB2312" w:cs="楷体_GB2312"/>
          <w:color w:val="auto"/>
          <w:sz w:val="30"/>
          <w:szCs w:val="30"/>
        </w:rPr>
      </w:pPr>
      <w:r>
        <w:rPr>
          <w:rFonts w:hint="eastAsia" w:ascii="楷体_GB2312" w:hAnsi="楷体_GB2312" w:eastAsia="楷体_GB2312" w:cs="楷体_GB2312"/>
          <w:color w:val="auto"/>
          <w:sz w:val="30"/>
          <w:szCs w:val="30"/>
        </w:rPr>
        <w:t>（三）审批机构审查。</w:t>
      </w:r>
    </w:p>
    <w:p>
      <w:pPr>
        <w:adjustRightInd w:val="0"/>
        <w:snapToGrid w:val="0"/>
        <w:spacing w:line="360" w:lineRule="auto"/>
        <w:ind w:firstLine="600" w:firstLineChars="200"/>
        <w:rPr>
          <w:rFonts w:hint="eastAsia" w:ascii="楷体_GB2312" w:hAnsi="楷体_GB2312" w:eastAsia="楷体_GB2312" w:cs="楷体_GB2312"/>
          <w:color w:val="auto"/>
          <w:sz w:val="30"/>
          <w:szCs w:val="30"/>
        </w:rPr>
      </w:pPr>
      <w:r>
        <w:rPr>
          <w:rFonts w:hint="eastAsia" w:ascii="楷体_GB2312" w:hAnsi="楷体_GB2312" w:eastAsia="楷体_GB2312" w:cs="楷体_GB2312"/>
          <w:color w:val="auto"/>
          <w:sz w:val="30"/>
          <w:szCs w:val="30"/>
        </w:rPr>
        <w:t>（四）决定作出许可决定书/不予许可决定书。</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申请符合法定条件、拟准予行政许可的，出具准予行政许可的书面决定；</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申请不符合法定条件、拟不予行政许可的，出具不予行政许可决定书，并说明不予行政许可的理由。申请人享有依法申请行政复议的权利。</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十二、</w:t>
      </w:r>
      <w:r>
        <w:rPr>
          <w:rFonts w:ascii="Times New Roman" w:hAnsi="Times New Roman" w:eastAsia="黑体" w:cs="Times New Roman"/>
          <w:color w:val="auto"/>
          <w:sz w:val="30"/>
          <w:szCs w:val="30"/>
        </w:rPr>
        <w:t>办理方式</w:t>
      </w:r>
    </w:p>
    <w:p>
      <w:pPr>
        <w:adjustRightInd w:val="0"/>
        <w:snapToGrid w:val="0"/>
        <w:spacing w:line="360" w:lineRule="auto"/>
        <w:ind w:firstLine="600"/>
        <w:jc w:val="left"/>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一般程序：申请、受理、审查、决定。</w:t>
      </w:r>
    </w:p>
    <w:p>
      <w:pPr>
        <w:adjustRightInd w:val="0"/>
        <w:snapToGrid w:val="0"/>
        <w:spacing w:line="360" w:lineRule="auto"/>
        <w:ind w:firstLine="585"/>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当场决定：</w:t>
      </w:r>
      <w:r>
        <w:rPr>
          <w:rFonts w:hint="eastAsia" w:ascii="Times New Roman" w:hAnsi="Times New Roman" w:eastAsia="仿宋_GB2312" w:cs="Times New Roman"/>
          <w:color w:val="auto"/>
          <w:sz w:val="30"/>
          <w:szCs w:val="30"/>
        </w:rPr>
        <w:t>能当场作出决定的，应当场作出行政许可决定。当场作出行政许可决定的，可不出具行政许可受理通知书</w:t>
      </w:r>
      <w:r>
        <w:rPr>
          <w:rFonts w:hint="eastAsia" w:ascii="Times New Roman" w:hAnsi="Times New Roman" w:eastAsia="仿宋_GB2312" w:cs="Times New Roman"/>
          <w:color w:val="auto"/>
          <w:sz w:val="30"/>
          <w:szCs w:val="30"/>
          <w:lang w:eastAsia="zh-CN"/>
        </w:rPr>
        <w:t>。</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十三、</w:t>
      </w:r>
      <w:r>
        <w:rPr>
          <w:rFonts w:hint="eastAsia" w:ascii="Times New Roman" w:hAnsi="Times New Roman" w:eastAsia="黑体" w:cs="Times New Roman"/>
          <w:color w:val="auto"/>
          <w:sz w:val="30"/>
          <w:szCs w:val="30"/>
        </w:rPr>
        <w:t>受理和审批时限</w:t>
      </w:r>
    </w:p>
    <w:p>
      <w:pPr>
        <w:adjustRightInd w:val="0"/>
        <w:snapToGrid w:val="0"/>
        <w:spacing w:line="360" w:lineRule="auto"/>
        <w:ind w:firstLine="585"/>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（一）</w:t>
      </w:r>
      <w:r>
        <w:rPr>
          <w:rFonts w:hint="eastAsia" w:ascii="Times New Roman" w:hAnsi="Times New Roman" w:eastAsia="仿宋_GB2312" w:cs="Times New Roman"/>
          <w:color w:val="auto"/>
          <w:sz w:val="30"/>
          <w:szCs w:val="30"/>
        </w:rPr>
        <w:t>承诺受理时限：5个工作日</w:t>
      </w:r>
    </w:p>
    <w:p>
      <w:pPr>
        <w:adjustRightInd w:val="0"/>
        <w:snapToGrid w:val="0"/>
        <w:spacing w:line="360" w:lineRule="auto"/>
        <w:ind w:firstLine="585"/>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（二）</w:t>
      </w:r>
      <w:r>
        <w:rPr>
          <w:rFonts w:hint="eastAsia" w:ascii="Times New Roman" w:hAnsi="Times New Roman" w:eastAsia="仿宋_GB2312" w:cs="Times New Roman"/>
          <w:color w:val="auto"/>
          <w:sz w:val="30"/>
          <w:szCs w:val="30"/>
        </w:rPr>
        <w:t>承诺审批时限：20个工作日</w:t>
      </w:r>
    </w:p>
    <w:p>
      <w:pPr>
        <w:adjustRightInd w:val="0"/>
        <w:snapToGrid w:val="0"/>
        <w:spacing w:line="360" w:lineRule="auto"/>
        <w:ind w:firstLine="585"/>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十四、</w:t>
      </w:r>
      <w:r>
        <w:rPr>
          <w:rFonts w:ascii="Times New Roman" w:hAnsi="Times New Roman" w:eastAsia="黑体" w:cs="Times New Roman"/>
          <w:color w:val="auto"/>
          <w:sz w:val="30"/>
          <w:szCs w:val="30"/>
        </w:rPr>
        <w:t>审批收费依据及标准</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（一）</w:t>
      </w:r>
      <w:r>
        <w:rPr>
          <w:rFonts w:hint="eastAsia" w:ascii="Times New Roman" w:hAnsi="Times New Roman" w:eastAsia="仿宋_GB2312" w:cs="Times New Roman"/>
          <w:color w:val="auto"/>
          <w:sz w:val="30"/>
          <w:szCs w:val="30"/>
        </w:rPr>
        <w:t>办理行政许可是否收费：否</w:t>
      </w:r>
      <w:r>
        <w:rPr>
          <w:rFonts w:hint="eastAsia" w:ascii="Times New Roman" w:hAnsi="Times New Roman" w:eastAsia="仿宋_GB2312" w:cs="Times New Roman"/>
          <w:color w:val="auto"/>
          <w:sz w:val="30"/>
          <w:szCs w:val="30"/>
          <w:lang w:eastAsia="zh-CN"/>
        </w:rPr>
        <w:t>。</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（二）</w:t>
      </w:r>
      <w:r>
        <w:rPr>
          <w:rFonts w:hint="eastAsia" w:ascii="Times New Roman" w:hAnsi="Times New Roman" w:eastAsia="仿宋_GB2312" w:cs="Times New Roman"/>
          <w:color w:val="auto"/>
          <w:sz w:val="30"/>
          <w:szCs w:val="30"/>
        </w:rPr>
        <w:t>收费项目的名称、收费项目的标准、设定收费项目的依据、规定收费标准的依据：无</w:t>
      </w:r>
      <w:r>
        <w:rPr>
          <w:rFonts w:hint="eastAsia" w:ascii="Times New Roman" w:hAnsi="Times New Roman" w:eastAsia="仿宋_GB2312" w:cs="Times New Roman"/>
          <w:color w:val="auto"/>
          <w:sz w:val="30"/>
          <w:szCs w:val="30"/>
          <w:lang w:eastAsia="zh-CN"/>
        </w:rPr>
        <w:t>。</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十五、</w:t>
      </w:r>
      <w:r>
        <w:rPr>
          <w:rFonts w:ascii="Times New Roman" w:hAnsi="Times New Roman" w:eastAsia="黑体" w:cs="Times New Roman"/>
          <w:color w:val="auto"/>
          <w:sz w:val="30"/>
          <w:szCs w:val="30"/>
        </w:rPr>
        <w:t>审批结果</w:t>
      </w:r>
    </w:p>
    <w:p>
      <w:pPr>
        <w:adjustRightInd w:val="0"/>
        <w:snapToGrid w:val="0"/>
        <w:spacing w:line="360" w:lineRule="auto"/>
        <w:ind w:firstLine="6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（一）</w:t>
      </w:r>
      <w:r>
        <w:rPr>
          <w:rFonts w:hint="eastAsia" w:ascii="Times New Roman" w:hAnsi="Times New Roman" w:eastAsia="仿宋_GB2312" w:cs="Times New Roman"/>
          <w:color w:val="auto"/>
          <w:sz w:val="30"/>
          <w:szCs w:val="30"/>
        </w:rPr>
        <w:t>审批结果类型：批文</w:t>
      </w:r>
      <w:r>
        <w:rPr>
          <w:rFonts w:hint="eastAsia" w:ascii="Times New Roman" w:hAnsi="Times New Roman" w:eastAsia="仿宋_GB2312" w:cs="Times New Roman"/>
          <w:color w:val="auto"/>
          <w:sz w:val="30"/>
          <w:szCs w:val="30"/>
          <w:lang w:eastAsia="zh-CN"/>
        </w:rPr>
        <w:t>。</w:t>
      </w:r>
    </w:p>
    <w:p>
      <w:pPr>
        <w:adjustRightInd w:val="0"/>
        <w:snapToGrid w:val="0"/>
        <w:spacing w:line="360" w:lineRule="auto"/>
        <w:ind w:firstLine="6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（二）</w:t>
      </w:r>
      <w:r>
        <w:rPr>
          <w:rFonts w:hint="eastAsia" w:ascii="Times New Roman" w:hAnsi="Times New Roman" w:eastAsia="仿宋_GB2312" w:cs="Times New Roman"/>
          <w:color w:val="auto"/>
          <w:sz w:val="30"/>
          <w:szCs w:val="30"/>
        </w:rPr>
        <w:t>审批结果名称：《国家外汇管理局XX分局关于XXXX的批复》</w:t>
      </w:r>
      <w:r>
        <w:rPr>
          <w:rFonts w:hint="eastAsia" w:ascii="Times New Roman" w:hAnsi="Times New Roman" w:eastAsia="仿宋_GB2312" w:cs="Times New Roman"/>
          <w:color w:val="auto"/>
          <w:sz w:val="30"/>
          <w:szCs w:val="30"/>
          <w:lang w:eastAsia="zh-CN"/>
        </w:rPr>
        <w:t>。</w:t>
      </w:r>
    </w:p>
    <w:p>
      <w:pPr>
        <w:adjustRightInd w:val="0"/>
        <w:snapToGrid w:val="0"/>
        <w:spacing w:line="360" w:lineRule="auto"/>
        <w:ind w:firstLine="600"/>
        <w:rPr>
          <w:rFonts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（三）</w:t>
      </w:r>
      <w:r>
        <w:rPr>
          <w:rFonts w:hint="eastAsia" w:ascii="Times New Roman" w:hAnsi="Times New Roman" w:eastAsia="仿宋_GB2312" w:cs="Times New Roman"/>
          <w:color w:val="auto"/>
          <w:sz w:val="30"/>
          <w:szCs w:val="30"/>
        </w:rPr>
        <w:t>审批结果的有效期限：无期限</w:t>
      </w:r>
      <w:r>
        <w:rPr>
          <w:rFonts w:hint="eastAsia" w:ascii="Times New Roman" w:hAnsi="Times New Roman" w:eastAsia="仿宋_GB2312" w:cs="Times New Roman"/>
          <w:color w:val="auto"/>
          <w:sz w:val="30"/>
          <w:szCs w:val="30"/>
          <w:lang w:eastAsia="zh-CN"/>
        </w:rPr>
        <w:t>。</w:t>
      </w:r>
    </w:p>
    <w:p>
      <w:pPr>
        <w:adjustRightInd w:val="0"/>
        <w:snapToGrid w:val="0"/>
        <w:spacing w:line="360" w:lineRule="auto"/>
        <w:ind w:firstLine="6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十六、</w:t>
      </w:r>
      <w:r>
        <w:rPr>
          <w:rFonts w:ascii="Times New Roman" w:hAnsi="Times New Roman" w:eastAsia="黑体" w:cs="Times New Roman"/>
          <w:color w:val="auto"/>
          <w:sz w:val="30"/>
          <w:szCs w:val="30"/>
        </w:rPr>
        <w:t>结果送达</w:t>
      </w:r>
    </w:p>
    <w:p>
      <w:pPr>
        <w:adjustRightInd w:val="0"/>
        <w:snapToGrid w:val="0"/>
        <w:spacing w:line="360" w:lineRule="auto"/>
        <w:ind w:firstLine="600"/>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通过现场告知或电话通知申请人，并通过现场领取或邮寄方式将结果送达。</w:t>
      </w:r>
    </w:p>
    <w:p>
      <w:pPr>
        <w:adjustRightInd w:val="0"/>
        <w:snapToGrid w:val="0"/>
        <w:spacing w:line="360" w:lineRule="auto"/>
        <w:ind w:firstLine="601"/>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十七、</w:t>
      </w:r>
      <w:r>
        <w:rPr>
          <w:rFonts w:ascii="Times New Roman" w:hAnsi="Times New Roman" w:eastAsia="黑体" w:cs="Times New Roman"/>
          <w:color w:val="auto"/>
          <w:sz w:val="30"/>
          <w:szCs w:val="30"/>
        </w:rPr>
        <w:t>申请人权利和义务</w:t>
      </w:r>
    </w:p>
    <w:p>
      <w:pPr>
        <w:adjustRightInd w:val="0"/>
        <w:snapToGrid w:val="0"/>
        <w:spacing w:line="360" w:lineRule="auto"/>
        <w:ind w:firstLine="601"/>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申请人有权依法提出行政审批申请，依法进行投诉、举报、复议、诉讼等。申请人有义务保证申请材料完整、真实、准确，获批后合法合规办理相关业务。</w:t>
      </w:r>
    </w:p>
    <w:p>
      <w:pPr>
        <w:widowControl w:val="0"/>
        <w:numPr>
          <w:ilvl w:val="0"/>
          <w:numId w:val="0"/>
        </w:numPr>
        <w:wordWrap/>
        <w:adjustRightInd w:val="0"/>
        <w:snapToGrid w:val="0"/>
        <w:spacing w:line="360" w:lineRule="auto"/>
        <w:ind w:left="0" w:leftChars="0" w:right="0" w:firstLine="600" w:firstLineChars="200"/>
        <w:jc w:val="both"/>
        <w:textAlignment w:val="auto"/>
        <w:outlineLvl w:val="9"/>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十八、</w:t>
      </w:r>
      <w:r>
        <w:rPr>
          <w:rFonts w:ascii="Times New Roman" w:hAnsi="Times New Roman" w:eastAsia="黑体" w:cs="Times New Roman"/>
          <w:color w:val="auto"/>
          <w:sz w:val="30"/>
          <w:szCs w:val="30"/>
        </w:rPr>
        <w:t>咨询途径、监督和投诉、公开查询等由所在地分局</w:t>
      </w:r>
      <w:bookmarkStart w:id="1" w:name="_GoBack"/>
      <w:bookmarkEnd w:id="1"/>
      <w:r>
        <w:rPr>
          <w:rFonts w:ascii="Times New Roman" w:hAnsi="Times New Roman" w:eastAsia="黑体" w:cs="Times New Roman"/>
          <w:color w:val="auto"/>
          <w:sz w:val="30"/>
          <w:szCs w:val="30"/>
        </w:rPr>
        <w:t>办理</w:t>
      </w:r>
    </w:p>
    <w:p>
      <w:pPr>
        <w:adjustRightInd w:val="0"/>
        <w:snapToGrid w:val="0"/>
        <w:spacing w:line="360" w:lineRule="auto"/>
        <w:ind w:firstLine="601"/>
        <w:rPr>
          <w:rFonts w:hint="eastAsia" w:ascii="楷体_GB2312" w:hAnsi="楷体_GB2312" w:eastAsia="楷体_GB2312" w:cs="楷体_GB2312"/>
          <w:b w:val="0"/>
          <w:bCs w:val="0"/>
          <w:color w:val="auto"/>
          <w:sz w:val="30"/>
          <w:szCs w:val="30"/>
          <w:lang w:val="en-US" w:eastAsia="zh-CN"/>
        </w:rPr>
      </w:pPr>
      <w:r>
        <w:rPr>
          <w:rFonts w:hint="eastAsia" w:ascii="楷体_GB2312" w:hAnsi="楷体_GB2312" w:eastAsia="楷体_GB2312" w:cs="楷体_GB2312"/>
          <w:b w:val="0"/>
          <w:bCs w:val="0"/>
          <w:color w:val="auto"/>
          <w:sz w:val="30"/>
          <w:szCs w:val="30"/>
          <w:lang w:val="en-US" w:eastAsia="zh-CN"/>
        </w:rPr>
        <w:t>（一）咨询途径</w:t>
      </w:r>
    </w:p>
    <w:p>
      <w:pPr>
        <w:adjustRightInd w:val="0"/>
        <w:snapToGrid w:val="0"/>
        <w:spacing w:line="360" w:lineRule="auto"/>
        <w:ind w:firstLine="601"/>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现场咨询：广西南宁市青秀区滨湖路58号中国人民银行广西壮族自治区分行七楼704室。</w:t>
      </w:r>
    </w:p>
    <w:p>
      <w:pPr>
        <w:adjustRightInd w:val="0"/>
        <w:snapToGrid w:val="0"/>
        <w:spacing w:line="360" w:lineRule="auto"/>
        <w:ind w:firstLine="601"/>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电话咨询：0771-6111312</w:t>
      </w:r>
    </w:p>
    <w:p>
      <w:pPr>
        <w:adjustRightInd w:val="0"/>
        <w:snapToGrid w:val="0"/>
        <w:spacing w:line="360" w:lineRule="auto"/>
        <w:ind w:firstLine="601"/>
        <w:rPr>
          <w:rFonts w:hint="eastAsia" w:ascii="Times New Roman" w:hAnsi="Times New Roman" w:eastAsia="仿宋_GB2312" w:cs="Times New Roman"/>
          <w:color w:val="auto"/>
          <w:sz w:val="30"/>
          <w:szCs w:val="30"/>
          <w:lang w:eastAsia="zh-CN"/>
        </w:rPr>
      </w:pPr>
      <w:r>
        <w:rPr>
          <w:rFonts w:hint="eastAsia" w:ascii="Times New Roman" w:hAnsi="Times New Roman" w:eastAsia="仿宋_GB2312" w:cs="Times New Roman"/>
          <w:color w:val="auto"/>
          <w:sz w:val="30"/>
          <w:szCs w:val="30"/>
          <w:lang w:val="en-US" w:eastAsia="zh-CN"/>
        </w:rPr>
        <w:t>网站咨询：</w:t>
      </w:r>
      <w:r>
        <w:rPr>
          <w:rFonts w:hint="eastAsia" w:ascii="Times New Roman" w:hAnsi="Times New Roman" w:eastAsia="仿宋_GB2312" w:cs="Times New Roman"/>
          <w:color w:val="auto"/>
          <w:sz w:val="30"/>
          <w:szCs w:val="30"/>
          <w:lang w:eastAsia="zh-CN"/>
        </w:rPr>
        <w:t>国家外汇管理局广西壮族自治区分局官方网站（www.safe.gov.cn</w:t>
      </w:r>
      <w:r>
        <w:rPr>
          <w:rFonts w:hint="eastAsia" w:ascii="Times New Roman" w:hAnsi="Times New Roman" w:eastAsia="仿宋_GB2312" w:cs="Times New Roman"/>
          <w:color w:val="auto"/>
          <w:sz w:val="30"/>
          <w:szCs w:val="30"/>
          <w:lang w:val="en-US" w:eastAsia="zh-CN"/>
        </w:rPr>
        <w:t>/guangxi/）</w:t>
      </w:r>
      <w:r>
        <w:rPr>
          <w:rFonts w:hint="eastAsia" w:ascii="Times New Roman" w:hAnsi="Times New Roman" w:eastAsia="仿宋_GB2312" w:cs="Times New Roman"/>
          <w:color w:val="auto"/>
          <w:sz w:val="30"/>
          <w:szCs w:val="30"/>
          <w:lang w:eastAsia="zh-CN"/>
        </w:rPr>
        <w:t>咨询反馈栏目。</w:t>
      </w:r>
    </w:p>
    <w:p>
      <w:pPr>
        <w:adjustRightInd w:val="0"/>
        <w:snapToGrid w:val="0"/>
        <w:spacing w:line="360" w:lineRule="auto"/>
        <w:ind w:firstLine="601"/>
        <w:rPr>
          <w:rFonts w:hint="eastAsia" w:ascii="楷体_GB2312" w:hAnsi="楷体_GB2312" w:eastAsia="楷体_GB2312" w:cs="楷体_GB2312"/>
          <w:b w:val="0"/>
          <w:bCs w:val="0"/>
          <w:color w:val="auto"/>
          <w:sz w:val="30"/>
          <w:szCs w:val="30"/>
          <w:lang w:val="en-US" w:eastAsia="zh-CN"/>
        </w:rPr>
      </w:pPr>
      <w:r>
        <w:rPr>
          <w:rFonts w:hint="eastAsia" w:ascii="楷体_GB2312" w:hAnsi="楷体_GB2312" w:eastAsia="楷体_GB2312" w:cs="楷体_GB2312"/>
          <w:b w:val="0"/>
          <w:bCs w:val="0"/>
          <w:color w:val="auto"/>
          <w:sz w:val="30"/>
          <w:szCs w:val="30"/>
          <w:lang w:val="en-US" w:eastAsia="zh-CN"/>
        </w:rPr>
        <w:t>（二）监督和投诉途径</w:t>
      </w:r>
    </w:p>
    <w:p>
      <w:pPr>
        <w:adjustRightInd w:val="0"/>
        <w:snapToGrid w:val="0"/>
        <w:spacing w:line="360" w:lineRule="auto"/>
        <w:ind w:firstLine="601"/>
        <w:rPr>
          <w:rFonts w:hint="eastAsia" w:ascii="Times New Roman" w:hAnsi="Times New Roman" w:eastAsia="仿宋_GB2312" w:cs="Times New Roman"/>
          <w:b w:val="0"/>
          <w:bCs w:val="0"/>
          <w:color w:val="auto"/>
          <w:sz w:val="30"/>
          <w:szCs w:val="30"/>
          <w:lang w:val="en-US" w:eastAsia="zh-CN"/>
        </w:rPr>
      </w:pPr>
      <w:r>
        <w:rPr>
          <w:rFonts w:hint="eastAsia" w:ascii="Times New Roman" w:hAnsi="Times New Roman" w:eastAsia="仿宋_GB2312" w:cs="Times New Roman"/>
          <w:b w:val="0"/>
          <w:bCs w:val="0"/>
          <w:color w:val="auto"/>
          <w:sz w:val="30"/>
          <w:szCs w:val="30"/>
          <w:lang w:val="en-US" w:eastAsia="zh-CN"/>
        </w:rPr>
        <w:t>电话投诉：0771-6111357</w:t>
      </w:r>
    </w:p>
    <w:p>
      <w:pPr>
        <w:adjustRightInd w:val="0"/>
        <w:snapToGrid w:val="0"/>
        <w:spacing w:line="360" w:lineRule="auto"/>
        <w:ind w:firstLine="601"/>
        <w:rPr>
          <w:rFonts w:hint="eastAsia" w:ascii="Times New Roman" w:hAnsi="Times New Roman" w:eastAsia="仿宋_GB2312" w:cs="Times New Roman"/>
          <w:b w:val="0"/>
          <w:bCs w:val="0"/>
          <w:color w:val="auto"/>
          <w:sz w:val="30"/>
          <w:szCs w:val="30"/>
          <w:lang w:val="en-US" w:eastAsia="zh-CN"/>
        </w:rPr>
      </w:pPr>
      <w:r>
        <w:rPr>
          <w:rFonts w:hint="eastAsia" w:ascii="Times New Roman" w:hAnsi="Times New Roman" w:eastAsia="仿宋_GB2312" w:cs="Times New Roman"/>
          <w:b w:val="0"/>
          <w:bCs w:val="0"/>
          <w:color w:val="auto"/>
          <w:sz w:val="30"/>
          <w:szCs w:val="30"/>
          <w:lang w:val="en-US" w:eastAsia="zh-CN"/>
        </w:rPr>
        <w:t>电子邮箱投诉：gxwgwg@163.com</w:t>
      </w:r>
    </w:p>
    <w:p>
      <w:pPr>
        <w:adjustRightInd w:val="0"/>
        <w:snapToGrid w:val="0"/>
        <w:spacing w:line="360" w:lineRule="auto"/>
        <w:ind w:firstLine="601"/>
        <w:rPr>
          <w:rFonts w:hint="eastAsia" w:ascii="Times New Roman" w:hAnsi="Times New Roman" w:eastAsia="仿宋_GB2312" w:cs="Times New Roman"/>
          <w:b w:val="0"/>
          <w:bCs w:val="0"/>
          <w:color w:val="auto"/>
          <w:sz w:val="30"/>
          <w:szCs w:val="30"/>
          <w:lang w:val="en-US" w:eastAsia="zh-CN"/>
        </w:rPr>
      </w:pPr>
      <w:r>
        <w:rPr>
          <w:rFonts w:hint="eastAsia" w:ascii="Times New Roman" w:hAnsi="Times New Roman" w:eastAsia="仿宋_GB2312" w:cs="Times New Roman"/>
          <w:b w:val="0"/>
          <w:bCs w:val="0"/>
          <w:color w:val="auto"/>
          <w:sz w:val="30"/>
          <w:szCs w:val="30"/>
          <w:lang w:val="en-US" w:eastAsia="zh-CN"/>
        </w:rPr>
        <w:t>网站投诉：国家外汇管理局广西壮族自治区分局官方网站（www.safe.gov.cn/guangxi/）咨询反馈栏目。</w:t>
      </w:r>
    </w:p>
    <w:p>
      <w:pPr>
        <w:adjustRightInd w:val="0"/>
        <w:snapToGrid w:val="0"/>
        <w:spacing w:line="360" w:lineRule="auto"/>
        <w:ind w:firstLine="601"/>
        <w:rPr>
          <w:rFonts w:hint="eastAsia" w:ascii="楷体_GB2312" w:hAnsi="楷体_GB2312" w:eastAsia="楷体_GB2312" w:cs="楷体_GB2312"/>
          <w:b w:val="0"/>
          <w:bCs w:val="0"/>
          <w:color w:val="auto"/>
          <w:sz w:val="30"/>
          <w:szCs w:val="30"/>
          <w:lang w:val="en-US" w:eastAsia="zh-CN"/>
        </w:rPr>
      </w:pPr>
      <w:r>
        <w:rPr>
          <w:rFonts w:hint="eastAsia" w:ascii="楷体_GB2312" w:hAnsi="楷体_GB2312" w:eastAsia="楷体_GB2312" w:cs="楷体_GB2312"/>
          <w:b w:val="0"/>
          <w:bCs w:val="0"/>
          <w:color w:val="auto"/>
          <w:sz w:val="30"/>
          <w:szCs w:val="30"/>
          <w:lang w:val="en-US" w:eastAsia="zh-CN"/>
        </w:rPr>
        <w:t>（三）</w:t>
      </w:r>
      <w:r>
        <w:rPr>
          <w:rFonts w:hint="eastAsia" w:ascii="楷体_GB2312" w:hAnsi="楷体_GB2312" w:eastAsia="楷体_GB2312" w:cs="楷体_GB2312"/>
          <w:b w:val="0"/>
          <w:bCs w:val="0"/>
          <w:color w:val="auto"/>
          <w:sz w:val="30"/>
          <w:szCs w:val="30"/>
          <w:lang w:eastAsia="zh-CN"/>
        </w:rPr>
        <w:t>公开</w:t>
      </w:r>
      <w:r>
        <w:rPr>
          <w:rFonts w:hint="eastAsia" w:ascii="楷体_GB2312" w:hAnsi="楷体_GB2312" w:eastAsia="楷体_GB2312" w:cs="楷体_GB2312"/>
          <w:b w:val="0"/>
          <w:bCs w:val="0"/>
          <w:color w:val="auto"/>
          <w:sz w:val="30"/>
          <w:szCs w:val="30"/>
        </w:rPr>
        <w:t>查询</w:t>
      </w:r>
      <w:r>
        <w:rPr>
          <w:rFonts w:hint="eastAsia" w:ascii="楷体_GB2312" w:hAnsi="楷体_GB2312" w:eastAsia="楷体_GB2312" w:cs="楷体_GB2312"/>
          <w:b w:val="0"/>
          <w:bCs w:val="0"/>
          <w:color w:val="auto"/>
          <w:sz w:val="30"/>
          <w:szCs w:val="30"/>
          <w:lang w:eastAsia="zh-CN"/>
        </w:rPr>
        <w:t>途径</w:t>
      </w:r>
    </w:p>
    <w:p>
      <w:pPr>
        <w:adjustRightInd w:val="0"/>
        <w:snapToGrid w:val="0"/>
        <w:spacing w:line="360" w:lineRule="auto"/>
        <w:ind w:firstLine="601"/>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现场查询：广西南宁市青秀区滨湖路58号中国人民银行广西壮族自治区分行七楼704室。</w:t>
      </w:r>
    </w:p>
    <w:p>
      <w:pPr>
        <w:adjustRightInd w:val="0"/>
        <w:snapToGrid w:val="0"/>
        <w:spacing w:line="360" w:lineRule="auto"/>
        <w:ind w:firstLine="601"/>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电话查询：0771-6111312</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十九、</w:t>
      </w:r>
      <w:r>
        <w:rPr>
          <w:rFonts w:hint="eastAsia" w:ascii="Times New Roman" w:hAnsi="Times New Roman" w:eastAsia="黑体" w:cs="Times New Roman"/>
          <w:color w:val="auto"/>
          <w:sz w:val="30"/>
          <w:szCs w:val="30"/>
        </w:rPr>
        <w:t>事项审查类型</w:t>
      </w:r>
    </w:p>
    <w:p>
      <w:pPr>
        <w:adjustRightInd w:val="0"/>
        <w:snapToGrid w:val="0"/>
        <w:spacing w:line="360" w:lineRule="auto"/>
        <w:ind w:firstLine="600" w:firstLineChars="200"/>
        <w:rPr>
          <w:rFonts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前审后批。</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二十、</w:t>
      </w:r>
      <w:r>
        <w:rPr>
          <w:rFonts w:hint="eastAsia" w:ascii="Times New Roman" w:hAnsi="Times New Roman" w:eastAsia="黑体" w:cs="Times New Roman"/>
          <w:color w:val="auto"/>
          <w:sz w:val="30"/>
          <w:szCs w:val="30"/>
        </w:rPr>
        <w:t>办公地址和时间</w:t>
      </w:r>
    </w:p>
    <w:p>
      <w:pPr>
        <w:widowControl w:val="0"/>
        <w:wordWrap/>
        <w:adjustRightInd w:val="0"/>
        <w:snapToGrid w:val="0"/>
        <w:spacing w:line="360" w:lineRule="auto"/>
        <w:ind w:left="0" w:leftChars="0" w:firstLine="600" w:firstLineChars="200"/>
        <w:jc w:val="both"/>
        <w:textAlignment w:val="auto"/>
        <w:outlineLvl w:val="9"/>
        <w:rPr>
          <w:rFonts w:hint="eastAsia" w:ascii="仿宋_GB2312" w:hAnsi="Times New Roman" w:eastAsia="仿宋_GB2312"/>
          <w:color w:val="auto"/>
          <w:sz w:val="30"/>
          <w:szCs w:val="30"/>
        </w:rPr>
      </w:pPr>
      <w:r>
        <w:rPr>
          <w:rFonts w:hint="eastAsia" w:ascii="仿宋_GB2312" w:hAnsi="Times New Roman" w:eastAsia="仿宋_GB2312"/>
          <w:color w:val="auto"/>
          <w:sz w:val="30"/>
          <w:szCs w:val="30"/>
          <w:lang w:val="en-US" w:eastAsia="zh-CN"/>
        </w:rPr>
        <w:t>办公</w:t>
      </w:r>
      <w:r>
        <w:rPr>
          <w:rFonts w:hint="eastAsia" w:ascii="仿宋_GB2312" w:hAnsi="Times New Roman" w:eastAsia="仿宋_GB2312"/>
          <w:color w:val="auto"/>
          <w:sz w:val="30"/>
          <w:szCs w:val="30"/>
        </w:rPr>
        <w:t>地址：广西南宁市青秀区滨湖路58号中国人民银行广西壮族自治区分行</w:t>
      </w:r>
      <w:r>
        <w:rPr>
          <w:rFonts w:hint="eastAsia" w:ascii="仿宋_GB2312" w:hAnsi="Times New Roman" w:eastAsia="仿宋_GB2312"/>
          <w:color w:val="auto"/>
          <w:sz w:val="30"/>
          <w:szCs w:val="30"/>
          <w:lang w:eastAsia="zh-CN"/>
        </w:rPr>
        <w:t>七楼704室</w:t>
      </w:r>
      <w:r>
        <w:rPr>
          <w:rFonts w:hint="eastAsia" w:ascii="仿宋_GB2312" w:hAnsi="Times New Roman" w:eastAsia="仿宋_GB2312"/>
          <w:color w:val="auto"/>
          <w:sz w:val="30"/>
          <w:szCs w:val="30"/>
        </w:rPr>
        <w:t>。</w:t>
      </w:r>
    </w:p>
    <w:p>
      <w:pPr>
        <w:widowControl w:val="0"/>
        <w:wordWrap/>
        <w:adjustRightInd w:val="0"/>
        <w:snapToGrid w:val="0"/>
        <w:spacing w:line="360" w:lineRule="auto"/>
        <w:ind w:left="0" w:leftChars="0" w:firstLine="600" w:firstLineChars="200"/>
        <w:jc w:val="both"/>
        <w:textAlignment w:val="auto"/>
        <w:outlineLvl w:val="9"/>
        <w:rPr>
          <w:rFonts w:hint="eastAsia" w:ascii="仿宋_GB2312" w:hAnsi="Times New Roman" w:eastAsia="仿宋_GB2312"/>
          <w:color w:val="auto"/>
          <w:sz w:val="30"/>
          <w:szCs w:val="30"/>
        </w:rPr>
      </w:pPr>
      <w:r>
        <w:rPr>
          <w:rFonts w:hint="eastAsia" w:ascii="仿宋_GB2312" w:hAnsi="Times New Roman" w:eastAsia="仿宋_GB2312"/>
          <w:color w:val="auto"/>
          <w:sz w:val="30"/>
          <w:szCs w:val="30"/>
          <w:lang w:eastAsia="zh-CN"/>
        </w:rPr>
        <w:t>办公</w:t>
      </w:r>
      <w:r>
        <w:rPr>
          <w:rFonts w:hint="eastAsia" w:ascii="仿宋_GB2312" w:hAnsi="Times New Roman" w:eastAsia="仿宋_GB2312"/>
          <w:color w:val="auto"/>
          <w:sz w:val="30"/>
          <w:szCs w:val="30"/>
        </w:rPr>
        <w:t xml:space="preserve">时间：工作日，上午：08:30-12:00，下午：14:30-17:30。 </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二十一、</w:t>
      </w:r>
      <w:r>
        <w:rPr>
          <w:rFonts w:ascii="Times New Roman" w:hAnsi="Times New Roman" w:eastAsia="黑体" w:cs="Times New Roman"/>
          <w:color w:val="auto"/>
          <w:sz w:val="30"/>
          <w:szCs w:val="30"/>
        </w:rPr>
        <w:t>常见问题解答</w:t>
      </w:r>
    </w:p>
    <w:p>
      <w:pPr>
        <w:adjustRightInd w:val="0"/>
        <w:snapToGrid w:val="0"/>
        <w:spacing w:line="360" w:lineRule="auto"/>
        <w:ind w:firstLine="602" w:firstLineChars="200"/>
        <w:rPr>
          <w:rFonts w:hint="eastAsia" w:ascii="Times New Roman" w:hAnsi="Times New Roman" w:eastAsia="仿宋_GB2312" w:cs="Times New Roman"/>
          <w:b/>
          <w:bCs/>
          <w:color w:val="auto"/>
          <w:sz w:val="30"/>
          <w:szCs w:val="30"/>
        </w:rPr>
      </w:pPr>
      <w:r>
        <w:rPr>
          <w:rFonts w:hint="eastAsia" w:ascii="Times New Roman" w:hAnsi="Times New Roman" w:eastAsia="仿宋_GB2312" w:cs="Times New Roman"/>
          <w:b/>
          <w:bCs/>
          <w:color w:val="auto"/>
          <w:sz w:val="30"/>
          <w:szCs w:val="30"/>
        </w:rPr>
        <w:t>受理后几个工作日能办结？</w:t>
      </w:r>
    </w:p>
    <w:p>
      <w:pPr>
        <w:adjustRightInd w:val="0"/>
        <w:snapToGrid w:val="0"/>
        <w:spacing w:line="360" w:lineRule="auto"/>
        <w:ind w:firstLine="600" w:firstLineChars="200"/>
        <w:rPr>
          <w:rFonts w:hint="eastAsia"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rPr>
        <w:t>根据《国家外汇管理局行政许可实施办法》（国家外汇管理局公告2021年第1号）第十五条，对于不能当场作出决定的行政许可事项，应自受理之日起20个工作日内作出决定；20个工作日内不能作出决定的，经本级外汇局局长或者主管副局长批准，可延长10个工作日，并向申请人出具延长行政许可办理期限通知书，说明延长期限的理由。行政许可办理期限只能延长一次。</w:t>
      </w:r>
    </w:p>
    <w:p>
      <w:pPr>
        <w:adjustRightInd w:val="0"/>
        <w:snapToGrid w:val="0"/>
        <w:spacing w:line="360" w:lineRule="auto"/>
        <w:ind w:firstLine="600" w:firstLineChars="200"/>
        <w:rPr>
          <w:rFonts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eastAsia="zh-CN"/>
        </w:rPr>
        <w:t>二十二、</w:t>
      </w:r>
      <w:r>
        <w:rPr>
          <w:rFonts w:ascii="Times New Roman" w:hAnsi="Times New Roman" w:eastAsia="黑体" w:cs="Times New Roman"/>
          <w:color w:val="auto"/>
          <w:sz w:val="30"/>
          <w:szCs w:val="30"/>
        </w:rPr>
        <w:t>常见错误示例</w:t>
      </w:r>
    </w:p>
    <w:p>
      <w:pPr>
        <w:adjustRightInd w:val="0"/>
        <w:snapToGrid w:val="0"/>
        <w:spacing w:line="360" w:lineRule="auto"/>
        <w:ind w:firstLine="600" w:firstLineChars="200"/>
        <w:rPr>
          <w:rFonts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eastAsia="zh-CN"/>
        </w:rPr>
        <w:t>业务</w:t>
      </w:r>
      <w:r>
        <w:rPr>
          <w:rFonts w:ascii="Times New Roman" w:hAnsi="Times New Roman" w:eastAsia="仿宋_GB2312" w:cs="Times New Roman"/>
          <w:color w:val="auto"/>
          <w:sz w:val="30"/>
          <w:szCs w:val="30"/>
        </w:rPr>
        <w:t>管理制度</w:t>
      </w:r>
      <w:r>
        <w:rPr>
          <w:rFonts w:hint="eastAsia" w:ascii="Times New Roman" w:hAnsi="Times New Roman" w:eastAsia="仿宋_GB2312" w:cs="Times New Roman"/>
          <w:color w:val="auto"/>
          <w:sz w:val="30"/>
          <w:szCs w:val="30"/>
          <w:lang w:eastAsia="zh-CN"/>
        </w:rPr>
        <w:t>不完善，不具备办理业务所必需的软硬件设备和相应业务工作经验的高级管理人员和业务人员等等</w:t>
      </w:r>
      <w:r>
        <w:rPr>
          <w:rFonts w:ascii="Times New Roman" w:hAnsi="Times New Roman" w:eastAsia="仿宋_GB2312" w:cs="Times New Roman"/>
          <w:color w:val="auto"/>
          <w:sz w:val="30"/>
          <w:szCs w:val="30"/>
        </w:rPr>
        <w:t>。</w:t>
      </w:r>
    </w:p>
    <w:p>
      <w:pPr>
        <w:widowControl/>
        <w:adjustRightInd w:val="0"/>
        <w:snapToGrid w:val="0"/>
        <w:spacing w:line="360" w:lineRule="auto"/>
        <w:jc w:val="left"/>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br w:type="page"/>
      </w:r>
    </w:p>
    <w:p>
      <w:pPr>
        <w:adjustRightInd w:val="0"/>
        <w:snapToGrid w:val="0"/>
        <w:ind w:right="301"/>
        <w:rPr>
          <w:rFonts w:ascii="Times New Roman" w:hAnsi="Times New Roman" w:eastAsia="仿宋_GB2312" w:cs="Times New Roman"/>
          <w:color w:val="auto"/>
          <w:sz w:val="30"/>
          <w:szCs w:val="30"/>
        </w:rPr>
      </w:pPr>
      <w:r>
        <w:rPr>
          <w:rFonts w:ascii="Times New Roman" w:hAnsi="Times New Roman" w:eastAsia="仿宋_GB2312" w:cs="Times New Roman"/>
          <w:color w:val="auto"/>
          <w:sz w:val="30"/>
          <w:szCs w:val="30"/>
        </w:rPr>
        <w:t>附录</w:t>
      </w:r>
    </w:p>
    <w:p>
      <w:pPr>
        <w:adjustRightInd w:val="0"/>
        <w:snapToGrid w:val="0"/>
        <w:ind w:right="301"/>
        <w:jc w:val="center"/>
        <w:rPr>
          <w:color w:val="auto"/>
        </w:rPr>
      </w:pPr>
      <w:r>
        <w:rPr>
          <w:rFonts w:ascii="Times New Roman" w:hAnsi="Times New Roman" w:eastAsia="黑体" w:cs="Times New Roman"/>
          <w:color w:val="auto"/>
          <w:sz w:val="30"/>
          <w:szCs w:val="30"/>
        </w:rPr>
        <w:t>基本流程</w:t>
      </w:r>
      <w:r>
        <w:rPr>
          <w:rFonts w:ascii="Times New Roman" w:hAnsi="Times New Roman" w:eastAsia="黑体" w:cs="Times New Roman"/>
          <w:color w:val="auto"/>
          <w:kern w:val="2"/>
          <w:sz w:val="48"/>
          <w:szCs w:val="48"/>
          <w:lang w:val="en-US" w:eastAsia="zh-CN" w:bidi="ar-SA"/>
        </w:rPr>
        <w:pict>
          <v:group id="Group 47" o:spid="_x0000_s1026" o:spt="203" style="position:absolute;left:0pt;margin-left:-39.15pt;margin-top:40.85pt;height:505.05pt;width:481.85pt;z-index:251659264;mso-width-relative:page;mso-height-relative:page;" coordsize="9637,10101">
            <o:lock v:ext="edit" position="f" selection="f" grouping="f" rotation="f" cropping="f" text="f" aspectratio="f"/>
            <v:shape id="AutoShape 287" o:spid="_x0000_s1027" o:spt="32" type="#_x0000_t32" style="position:absolute;left:791;top:1929;height:0;width:1543;rotation:5898240f;" fillcolor="#FFFFFF" filled="t" o:preferrelative="t" stroked="t" coordsize="21600,21600">
              <v:path arrowok="t"/>
              <v:fill on="t" focussize="0,0"/>
              <v:stroke color="#000000" color2="#FFFFFF" miterlimit="2" endarrow="block"/>
              <v:imagedata gain="65536f" blacklevel="0f" gamma="0" o:title=""/>
              <o:lock v:ext="edit" position="f" selection="f" grouping="f" rotation="f" cropping="f" text="f" aspectratio="f"/>
            </v:shape>
            <v:shape id="AutoShape 288" o:spid="_x0000_s1028" o:spt="32" type="#_x0000_t32" style="position:absolute;left:3678;top:3177;height:0;width:504;" fillcolor="#FFFFFF" filled="t" o:preferrelative="t" stroked="t" coordsize="21600,21600">
              <v:path arrowok="t"/>
              <v:fill on="t" focussize="0,0"/>
              <v:stroke color="#000000" color2="#FFFFFF" miterlimit="2" endarrow="block"/>
              <v:imagedata gain="65536f" blacklevel="0f" gamma="0" o:title=""/>
              <o:lock v:ext="edit" position="f" selection="f" grouping="f" rotation="f" cropping="f" text="f" aspectratio="f"/>
            </v:shape>
            <v:shape id="AutoShape 289" o:spid="_x0000_s1029" o:spt="34" type="#_x0000_t34" style="position:absolute;left:3663;top:4208;height:1;width:519;" fillcolor="#FFFFFF" filled="t" o:preferrelative="t" stroked="t" coordsize="21600,21600" adj="10779">
              <v:path arrowok="t"/>
              <v:fill on="t" focussize="0,0"/>
              <v:stroke color="#000000" color2="#FFFFFF" miterlimit="2" endarrow="block"/>
              <v:imagedata gain="65536f" blacklevel="0f" gamma="0" o:title=""/>
              <o:lock v:ext="edit" position="f" selection="f" grouping="f" rotation="f" cropping="f" text="f" aspectratio="f"/>
            </v:shape>
            <v:shape id="AutoShape 290" o:spid="_x0000_s1030" o:spt="32" type="#_x0000_t32" style="position:absolute;left:7690;top:1940;flip:y;height:895;width:1;" fillcolor="#FFFFFF" filled="t" o:preferrelative="t" stroked="t" coordsize="21600,21600">
              <v:path arrowok="t"/>
              <v:fill on="t" focussize="0,0"/>
              <v:stroke color="#000000" color2="#FFFFFF" miterlimit="2" endarrow="block"/>
              <v:imagedata gain="65536f" blacklevel="0f" gamma="0" o:title=""/>
              <o:lock v:ext="edit" position="f" selection="f" grouping="f" rotation="f" cropping="f" text="f" aspectratio="f"/>
            </v:shape>
            <v:shape id="AutoShape 291" o:spid="_x0000_s1031" o:spt="32" type="#_x0000_t32" style="position:absolute;left:1612;top:1625;flip:x;height:1;width:4643;" fillcolor="#FFFFFF" filled="t" o:preferrelative="t" stroked="t" coordsize="21600,21600">
              <v:path arrowok="t"/>
              <v:fill on="t" focussize="0,0"/>
              <v:stroke color="#000000" color2="#FFFFFF" miterlimit="2" endarrow="block"/>
              <v:imagedata gain="65536f" blacklevel="0f" gamma="0" o:title=""/>
              <o:lock v:ext="edit" position="f" selection="f" grouping="f" rotation="f" cropping="f" text="f" aspectratio="f"/>
            </v:shape>
            <v:shape id="AutoShape 292" o:spid="_x0000_s1032" o:spt="32" type="#_x0000_t32" style="position:absolute;left:3985;top:6520;height:437;width:0;" fillcolor="#FFFFFF" filled="t" o:preferrelative="t" stroked="t" coordsize="21600,21600">
              <v:path arrowok="t"/>
              <v:fill on="t" focussize="0,0"/>
              <v:stroke color="#000000" color2="#FFFFFF" miterlimit="2" endarrow="block"/>
              <v:imagedata gain="65536f" blacklevel="0f" gamma="0" o:title=""/>
              <o:lock v:ext="edit" position="f" selection="f" grouping="f" rotation="f" cropping="f" text="f" aspectratio="f"/>
            </v:shape>
            <v:shape id="AutoShape 293" o:spid="_x0000_s1033" o:spt="32" type="#_x0000_t32" style="position:absolute;left:3969;top:8439;height:905;width:1;" fillcolor="#FFFFFF" filled="t" o:preferrelative="t" stroked="t" coordsize="21600,21600">
              <v:path arrowok="t"/>
              <v:fill on="t" focussize="0,0"/>
              <v:stroke color="#000000" color2="#FFFFFF" miterlimit="2" endarrow="block"/>
              <v:imagedata gain="65536f" blacklevel="0f" gamma="0" o:title=""/>
              <o:lock v:ext="edit" position="f" selection="f" grouping="f" rotation="f" cropping="f" text="f" aspectratio="f"/>
            </v:shape>
            <v:shape id="AutoShape 294" o:spid="_x0000_s1034" o:spt="32" type="#_x0000_t32" style="position:absolute;left:1610;top:4649;height:1391;width:0;" fillcolor="#FFFFFF" filled="t" o:preferrelative="t" stroked="t" coordsize="21600,21600">
              <v:path arrowok="t"/>
              <v:fill on="t" focussize="0,0"/>
              <v:stroke color="#000000" color2="#FFFFFF" miterlimit="2"/>
              <v:imagedata gain="65536f" blacklevel="0f" gamma="0" o:title=""/>
              <o:lock v:ext="edit" position="f" selection="f" grouping="f" rotation="f" cropping="f" text="f" aspectratio="f"/>
            </v:shape>
            <v:shape id="AutoShape 295" o:spid="_x0000_s1035" o:spt="32" type="#_x0000_t32" style="position:absolute;left:1610;top:6055;height:0;width:822;" fillcolor="#FFFFFF" filled="t" o:preferrelative="t" stroked="t" coordsize="21600,21600">
              <v:path arrowok="t"/>
              <v:fill on="t" focussize="0,0"/>
              <v:stroke color="#000000" color2="#FFFFFF" miterlimit="2" endarrow="block"/>
              <v:imagedata gain="65536f" blacklevel="0f" gamma="0" o:title=""/>
              <o:lock v:ext="edit" position="f" selection="f" grouping="f" rotation="f" cropping="f" text="f" aspectratio="f"/>
            </v:shape>
            <v:shape id="AutoShape 296" o:spid="_x0000_s1036" o:spt="110" type="#_x0000_t110" style="position:absolute;left:0;top:2715;height:2115;width:3150;"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r>
                      <w:rPr>
                        <w:rFonts w:hint="eastAsia"/>
                      </w:rPr>
                      <w:t>接件并于</w:t>
                    </w:r>
                    <w:r>
                      <w:rPr>
                        <w:rFonts w:ascii="Times New Roman" w:hAnsi="Times New Roman" w:cs="Times New Roman"/>
                      </w:rPr>
                      <w:t>5</w:t>
                    </w:r>
                    <w:r>
                      <w:rPr>
                        <w:rFonts w:hint="eastAsia"/>
                      </w:rPr>
                      <w:t>个工作日作出是否受理决定</w:t>
                    </w:r>
                  </w:p>
                </w:txbxContent>
              </v:textbox>
            </v:shape>
            <v:shape id="AutoShape 297" o:spid="_x0000_s1037" o:spt="32" type="#_x0000_t32" style="position:absolute;left:3135;top:3682;height:0;width:1025;rotation:5898240f;" fillcolor="#FFFFFF" filled="t" o:preferrelative="t" stroked="t" coordsize="21600,21600">
              <v:path arrowok="t"/>
              <v:fill on="t" focussize="0,0"/>
              <v:stroke color="#000000" color2="#FFFFFF" miterlimit="2"/>
              <v:imagedata gain="65536f" blacklevel="0f" gamma="0" o:title=""/>
              <o:lock v:ext="edit" position="f" selection="f" grouping="f" rotation="f" cropping="f" text="f" aspectratio="f"/>
            </v:shape>
            <v:shape id="AutoShape 298" o:spid="_x0000_s1038" o:spt="32" type="#_x0000_t32" style="position:absolute;left:3150;top:3776;height:0;width:513;" fillcolor="#FFFFFF" filled="t" o:preferrelative="t" stroked="t" coordsize="21600,21600">
              <v:path arrowok="t"/>
              <v:fill on="t" focussize="0,0"/>
              <v:stroke color="#000000" color2="#FFFFFF" miterlimit="2"/>
              <v:imagedata gain="65536f" blacklevel="0f" gamma="0" o:title=""/>
              <o:lock v:ext="edit" position="f" selection="f" grouping="f" rotation="f" cropping="f" text="f" aspectratio="f"/>
            </v:shape>
            <v:rect id="Rectangle 299" o:spid="_x0000_s1039" o:spt="1" style="position:absolute;left:6255;top:1193;height:720;width:2929;"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r>
                      <w:rPr>
                        <w:rFonts w:hint="eastAsia"/>
                      </w:rPr>
                      <w:t>申请人补</w:t>
                    </w:r>
                    <w:r>
                      <w:rPr>
                        <w:rFonts w:hint="eastAsia"/>
                        <w:lang w:eastAsia="zh-CN"/>
                      </w:rPr>
                      <w:t>正</w:t>
                    </w:r>
                    <w:r>
                      <w:rPr>
                        <w:rFonts w:hint="eastAsia"/>
                      </w:rPr>
                      <w:t>材料</w:t>
                    </w:r>
                  </w:p>
                  <w:p/>
                </w:txbxContent>
              </v:textbox>
            </v:rect>
            <v:shape id="AutoShape 300" o:spid="_x0000_s1040" o:spt="109" type="#_x0000_t109" style="position:absolute;left:4182;top:2835;height:587;width:5440;"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r>
                      <w:rPr>
                        <w:rFonts w:hint="eastAsia"/>
                      </w:rPr>
                      <w:t>材料不全或不符合法定形式的，一次性告知补正材料</w:t>
                    </w:r>
                  </w:p>
                </w:txbxContent>
              </v:textbox>
            </v:shape>
            <v:rect id="Rectangle 301" o:spid="_x0000_s1041" o:spt="1" style="position:absolute;left:4197;top:3776;height:811;width:5440;"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pPr>
                      <w:rPr>
                        <w:rFonts w:hint="eastAsia"/>
                      </w:rPr>
                    </w:pPr>
                    <w:r>
                      <w:rPr>
                        <w:rFonts w:hint="eastAsia"/>
                      </w:rPr>
                      <w:t>依法不予受理的，作出不予受理决定，出具不予受理行政许可通知书</w:t>
                    </w:r>
                  </w:p>
                </w:txbxContent>
              </v:textbox>
            </v:rect>
            <v:shape id="AutoShape 302" o:spid="_x0000_s1042" o:spt="109" type="#_x0000_t109" style="position:absolute;left:2435;top:5705;height:815;width:3227;"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r>
                      <w:rPr>
                        <w:rFonts w:hint="eastAsia"/>
                      </w:rPr>
                      <w:t>依法应予受理的，出具行政许可受理通知书</w:t>
                    </w:r>
                  </w:p>
                </w:txbxContent>
              </v:textbox>
            </v:shape>
            <v:shape id="AutoShape 303" o:spid="_x0000_s1043" o:spt="110" type="#_x0000_t110" style="position:absolute;left:2439;top:6957;height:1444;width:3064;"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pPr>
                      <w:jc w:val="center"/>
                    </w:pPr>
                    <w:r>
                      <w:rPr>
                        <w:rFonts w:hint="eastAsia"/>
                      </w:rPr>
                      <w:t>审查报批</w:t>
                    </w:r>
                  </w:p>
                </w:txbxContent>
              </v:textbox>
            </v:shape>
            <v:shape id="AutoShape 304" o:spid="_x0000_s1044" o:spt="109" type="#_x0000_t109" style="position:absolute;left:2435;top:9344;height:757;width:2987;"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r>
                      <w:rPr>
                        <w:rFonts w:hint="eastAsia"/>
                      </w:rPr>
                      <w:t>拟准予行政许可的，出具准予行政许可的书面决定</w:t>
                    </w:r>
                  </w:p>
                </w:txbxContent>
              </v:textbox>
            </v:shape>
            <v:shape id="AutoShape 305" o:spid="_x0000_s1045" o:spt="109" type="#_x0000_t109" style="position:absolute;left:6769;top:7285;height:766;width:2298;"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r>
                      <w:rPr>
                        <w:rFonts w:hint="eastAsia"/>
                      </w:rPr>
                      <w:t>依法出具不予行政许可决定书</w:t>
                    </w:r>
                  </w:p>
                </w:txbxContent>
              </v:textbox>
            </v:shape>
            <v:shape id="AutoShape 306" o:spid="_x0000_s1046" o:spt="32" type="#_x0000_t32" style="position:absolute;left:5503;top:7666;flip:y;height:15;width:1266;" fillcolor="#FFFFFF" filled="t" o:preferrelative="t" stroked="t" coordsize="21600,21600">
              <v:path arrowok="t"/>
              <v:fill on="t" focussize="0,0"/>
              <v:stroke color="#000000" color2="#FFFFFF" miterlimit="2" endarrow="block"/>
              <v:imagedata gain="65536f" blacklevel="0f" gamma="0" o:title=""/>
              <o:lock v:ext="edit" position="f" selection="f" grouping="f" rotation="f" cropping="f" text="f" aspectratio="f"/>
            </v:shape>
            <v:shape id="AutoShape 307" o:spid="_x0000_s1047" o:spt="116" type="#_x0000_t116" style="position:absolute;left:683;top:0;height:1172;width:2467;"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r>
                      <w:rPr>
                        <w:rFonts w:hint="eastAsia"/>
                      </w:rPr>
                      <w:t>申请人现场提出书面申请，并提交材料</w:t>
                    </w:r>
                  </w:p>
                  <w:p/>
                </w:txbxContent>
              </v:textbox>
            </v:shape>
          </v:group>
        </w:pict>
      </w:r>
      <w:r>
        <w:rPr>
          <w:rFonts w:hint="eastAsia" w:ascii="Times New Roman" w:hAnsi="Times New Roman" w:eastAsia="黑体" w:cs="Times New Roman"/>
          <w:color w:val="auto"/>
          <w:sz w:val="30"/>
          <w:szCs w:val="30"/>
        </w:rPr>
        <w:t>图</w:t>
      </w:r>
    </w:p>
    <w:sectPr>
      <w:footerReference r:id="rId3" w:type="default"/>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Noto Sans Mono CJK JP Regular">
    <w:altName w:val="微软雅黑"/>
    <w:panose1 w:val="00000000000000000000"/>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8</w:t>
    </w:r>
    <w:r>
      <w:rPr>
        <w:lang w:val="zh-CN"/>
      </w:rP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DDDC68"/>
    <w:multiLevelType w:val="singleLevel"/>
    <w:tmpl w:val="64DDDC68"/>
    <w:lvl w:ilvl="0" w:tentative="0">
      <w:start w:val="9"/>
      <w:numFmt w:val="chineseCounting"/>
      <w:suff w:val="nothing"/>
      <w:lvlText w:val="%1、"/>
      <w:lvlJc w:val="left"/>
    </w:lvl>
  </w:abstractNum>
  <w:abstractNum w:abstractNumId="1">
    <w:nsid w:val="64DDDCD1"/>
    <w:multiLevelType w:val="singleLevel"/>
    <w:tmpl w:val="64DDDCD1"/>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Q4YjIwYjI4ZmE4OWQ2YmE1MDViYjU3ZGNiYjhlODIifQ=="/>
  </w:docVars>
  <w:rsids>
    <w:rsidRoot w:val="00172A27"/>
    <w:rsid w:val="00003372"/>
    <w:rsid w:val="00016BA0"/>
    <w:rsid w:val="00022191"/>
    <w:rsid w:val="00023783"/>
    <w:rsid w:val="00041960"/>
    <w:rsid w:val="00042B58"/>
    <w:rsid w:val="00054B00"/>
    <w:rsid w:val="00055270"/>
    <w:rsid w:val="00057F76"/>
    <w:rsid w:val="0006560A"/>
    <w:rsid w:val="00072F8A"/>
    <w:rsid w:val="000750C8"/>
    <w:rsid w:val="00080630"/>
    <w:rsid w:val="00091661"/>
    <w:rsid w:val="00092D53"/>
    <w:rsid w:val="00096CBB"/>
    <w:rsid w:val="00097F7B"/>
    <w:rsid w:val="000B6901"/>
    <w:rsid w:val="000B728B"/>
    <w:rsid w:val="000C15B3"/>
    <w:rsid w:val="000C2B33"/>
    <w:rsid w:val="000C3109"/>
    <w:rsid w:val="000D1995"/>
    <w:rsid w:val="000D7478"/>
    <w:rsid w:val="000E1402"/>
    <w:rsid w:val="000E4759"/>
    <w:rsid w:val="0012271F"/>
    <w:rsid w:val="00130519"/>
    <w:rsid w:val="001332EE"/>
    <w:rsid w:val="00135BEE"/>
    <w:rsid w:val="0014667A"/>
    <w:rsid w:val="00154B58"/>
    <w:rsid w:val="00157C64"/>
    <w:rsid w:val="00157E81"/>
    <w:rsid w:val="00170126"/>
    <w:rsid w:val="00177059"/>
    <w:rsid w:val="00181D3E"/>
    <w:rsid w:val="00186BC2"/>
    <w:rsid w:val="00190108"/>
    <w:rsid w:val="00196FAE"/>
    <w:rsid w:val="001A3E49"/>
    <w:rsid w:val="001A72AA"/>
    <w:rsid w:val="001B1E2C"/>
    <w:rsid w:val="001C0646"/>
    <w:rsid w:val="001C44C7"/>
    <w:rsid w:val="001D65A2"/>
    <w:rsid w:val="001E1407"/>
    <w:rsid w:val="001F4BD4"/>
    <w:rsid w:val="001F7297"/>
    <w:rsid w:val="00205D07"/>
    <w:rsid w:val="00212F39"/>
    <w:rsid w:val="00215BA9"/>
    <w:rsid w:val="00217116"/>
    <w:rsid w:val="00231EED"/>
    <w:rsid w:val="00233841"/>
    <w:rsid w:val="00235F24"/>
    <w:rsid w:val="002417D2"/>
    <w:rsid w:val="00241FE8"/>
    <w:rsid w:val="0024527E"/>
    <w:rsid w:val="00253F7B"/>
    <w:rsid w:val="00263773"/>
    <w:rsid w:val="00263B1F"/>
    <w:rsid w:val="00291C17"/>
    <w:rsid w:val="0029313A"/>
    <w:rsid w:val="002B0B1C"/>
    <w:rsid w:val="002B598D"/>
    <w:rsid w:val="002B61C1"/>
    <w:rsid w:val="002C6BC7"/>
    <w:rsid w:val="002E1323"/>
    <w:rsid w:val="002F3868"/>
    <w:rsid w:val="00302119"/>
    <w:rsid w:val="00302E87"/>
    <w:rsid w:val="00310261"/>
    <w:rsid w:val="0033051F"/>
    <w:rsid w:val="00343044"/>
    <w:rsid w:val="00344B01"/>
    <w:rsid w:val="00353AC4"/>
    <w:rsid w:val="00360FA0"/>
    <w:rsid w:val="003616B4"/>
    <w:rsid w:val="0037548C"/>
    <w:rsid w:val="003A57B2"/>
    <w:rsid w:val="003C7132"/>
    <w:rsid w:val="003D77A5"/>
    <w:rsid w:val="003E6BF6"/>
    <w:rsid w:val="003F221D"/>
    <w:rsid w:val="003F3097"/>
    <w:rsid w:val="00402AE8"/>
    <w:rsid w:val="00405FE6"/>
    <w:rsid w:val="004104EB"/>
    <w:rsid w:val="004105BC"/>
    <w:rsid w:val="00421C27"/>
    <w:rsid w:val="00440A1F"/>
    <w:rsid w:val="00443603"/>
    <w:rsid w:val="00443604"/>
    <w:rsid w:val="004501EA"/>
    <w:rsid w:val="00460458"/>
    <w:rsid w:val="00463BFF"/>
    <w:rsid w:val="0046792D"/>
    <w:rsid w:val="004767DF"/>
    <w:rsid w:val="00481032"/>
    <w:rsid w:val="00493CCC"/>
    <w:rsid w:val="0049552E"/>
    <w:rsid w:val="004A0218"/>
    <w:rsid w:val="004A7840"/>
    <w:rsid w:val="004B545A"/>
    <w:rsid w:val="004B7E80"/>
    <w:rsid w:val="004C1596"/>
    <w:rsid w:val="004C457E"/>
    <w:rsid w:val="004C48D5"/>
    <w:rsid w:val="004D03B7"/>
    <w:rsid w:val="004D1436"/>
    <w:rsid w:val="004D57AE"/>
    <w:rsid w:val="004E0A65"/>
    <w:rsid w:val="004F07E8"/>
    <w:rsid w:val="005056D4"/>
    <w:rsid w:val="00526B2B"/>
    <w:rsid w:val="005362B0"/>
    <w:rsid w:val="00542447"/>
    <w:rsid w:val="00550714"/>
    <w:rsid w:val="00563796"/>
    <w:rsid w:val="00564312"/>
    <w:rsid w:val="005A2981"/>
    <w:rsid w:val="005C6937"/>
    <w:rsid w:val="005C7F02"/>
    <w:rsid w:val="005F0A86"/>
    <w:rsid w:val="005F144A"/>
    <w:rsid w:val="005F1C00"/>
    <w:rsid w:val="0061621E"/>
    <w:rsid w:val="0062366A"/>
    <w:rsid w:val="00630AA8"/>
    <w:rsid w:val="00630B2E"/>
    <w:rsid w:val="00643D2A"/>
    <w:rsid w:val="00664E11"/>
    <w:rsid w:val="00673432"/>
    <w:rsid w:val="00673B30"/>
    <w:rsid w:val="00696E5D"/>
    <w:rsid w:val="006B5B86"/>
    <w:rsid w:val="006C28AF"/>
    <w:rsid w:val="006C3F52"/>
    <w:rsid w:val="006C5908"/>
    <w:rsid w:val="006C633E"/>
    <w:rsid w:val="006D56AB"/>
    <w:rsid w:val="006D734F"/>
    <w:rsid w:val="006E043F"/>
    <w:rsid w:val="006E4695"/>
    <w:rsid w:val="006E4B8B"/>
    <w:rsid w:val="006E5901"/>
    <w:rsid w:val="0071091C"/>
    <w:rsid w:val="00714961"/>
    <w:rsid w:val="00743ACD"/>
    <w:rsid w:val="00744BD5"/>
    <w:rsid w:val="00745748"/>
    <w:rsid w:val="00750E36"/>
    <w:rsid w:val="00753CB0"/>
    <w:rsid w:val="00755460"/>
    <w:rsid w:val="00761FB7"/>
    <w:rsid w:val="00762107"/>
    <w:rsid w:val="00764CB9"/>
    <w:rsid w:val="00765B05"/>
    <w:rsid w:val="0077269F"/>
    <w:rsid w:val="00785088"/>
    <w:rsid w:val="00785F45"/>
    <w:rsid w:val="00795E87"/>
    <w:rsid w:val="007A2780"/>
    <w:rsid w:val="007A68EA"/>
    <w:rsid w:val="007B06FC"/>
    <w:rsid w:val="007B0FEF"/>
    <w:rsid w:val="007B2DB5"/>
    <w:rsid w:val="007C2C07"/>
    <w:rsid w:val="007D2C11"/>
    <w:rsid w:val="007D6171"/>
    <w:rsid w:val="007D69EA"/>
    <w:rsid w:val="007E2C7B"/>
    <w:rsid w:val="007E411B"/>
    <w:rsid w:val="007F0863"/>
    <w:rsid w:val="007F2F3B"/>
    <w:rsid w:val="00802307"/>
    <w:rsid w:val="0082168E"/>
    <w:rsid w:val="00821968"/>
    <w:rsid w:val="00836B5E"/>
    <w:rsid w:val="008471B6"/>
    <w:rsid w:val="0084737D"/>
    <w:rsid w:val="00851521"/>
    <w:rsid w:val="0085686A"/>
    <w:rsid w:val="00860878"/>
    <w:rsid w:val="008653AB"/>
    <w:rsid w:val="008731FF"/>
    <w:rsid w:val="008816CB"/>
    <w:rsid w:val="0088294A"/>
    <w:rsid w:val="0089282A"/>
    <w:rsid w:val="008A4538"/>
    <w:rsid w:val="008A704B"/>
    <w:rsid w:val="008B08D2"/>
    <w:rsid w:val="008B4EE5"/>
    <w:rsid w:val="008B5807"/>
    <w:rsid w:val="008D5FA0"/>
    <w:rsid w:val="008E04B5"/>
    <w:rsid w:val="008E2D38"/>
    <w:rsid w:val="008F5724"/>
    <w:rsid w:val="008F5900"/>
    <w:rsid w:val="00902633"/>
    <w:rsid w:val="009027D8"/>
    <w:rsid w:val="0090372F"/>
    <w:rsid w:val="00911E27"/>
    <w:rsid w:val="00911E9A"/>
    <w:rsid w:val="0092129A"/>
    <w:rsid w:val="00925BB2"/>
    <w:rsid w:val="00930C8C"/>
    <w:rsid w:val="009360EA"/>
    <w:rsid w:val="00947C57"/>
    <w:rsid w:val="00951149"/>
    <w:rsid w:val="00960EDB"/>
    <w:rsid w:val="009622DB"/>
    <w:rsid w:val="009664BC"/>
    <w:rsid w:val="009802B3"/>
    <w:rsid w:val="00980F02"/>
    <w:rsid w:val="00991B77"/>
    <w:rsid w:val="00997523"/>
    <w:rsid w:val="009A0C5D"/>
    <w:rsid w:val="009C3809"/>
    <w:rsid w:val="009C4672"/>
    <w:rsid w:val="009C491B"/>
    <w:rsid w:val="009D0911"/>
    <w:rsid w:val="009D24F8"/>
    <w:rsid w:val="009D688C"/>
    <w:rsid w:val="009D7B83"/>
    <w:rsid w:val="009E49CD"/>
    <w:rsid w:val="009F1CE6"/>
    <w:rsid w:val="009F276E"/>
    <w:rsid w:val="009F7A36"/>
    <w:rsid w:val="00A1524C"/>
    <w:rsid w:val="00A249C2"/>
    <w:rsid w:val="00A24FAB"/>
    <w:rsid w:val="00A301E7"/>
    <w:rsid w:val="00A31525"/>
    <w:rsid w:val="00A376AD"/>
    <w:rsid w:val="00A42E69"/>
    <w:rsid w:val="00A45CA7"/>
    <w:rsid w:val="00A51415"/>
    <w:rsid w:val="00A6014E"/>
    <w:rsid w:val="00A60356"/>
    <w:rsid w:val="00A61333"/>
    <w:rsid w:val="00A61A9C"/>
    <w:rsid w:val="00A66F2C"/>
    <w:rsid w:val="00A73838"/>
    <w:rsid w:val="00A81DF1"/>
    <w:rsid w:val="00A90EF3"/>
    <w:rsid w:val="00AA7717"/>
    <w:rsid w:val="00AB131E"/>
    <w:rsid w:val="00AB644F"/>
    <w:rsid w:val="00AB70C5"/>
    <w:rsid w:val="00AC3F5E"/>
    <w:rsid w:val="00AC5293"/>
    <w:rsid w:val="00AD37AF"/>
    <w:rsid w:val="00AE7ACF"/>
    <w:rsid w:val="00AF1ED9"/>
    <w:rsid w:val="00B06409"/>
    <w:rsid w:val="00B16C25"/>
    <w:rsid w:val="00B17D66"/>
    <w:rsid w:val="00B2080F"/>
    <w:rsid w:val="00B31FD9"/>
    <w:rsid w:val="00B35D3A"/>
    <w:rsid w:val="00B422F1"/>
    <w:rsid w:val="00B60377"/>
    <w:rsid w:val="00B71531"/>
    <w:rsid w:val="00B716CB"/>
    <w:rsid w:val="00B71F89"/>
    <w:rsid w:val="00B7456C"/>
    <w:rsid w:val="00B84131"/>
    <w:rsid w:val="00B8630E"/>
    <w:rsid w:val="00B931F4"/>
    <w:rsid w:val="00B95573"/>
    <w:rsid w:val="00B96395"/>
    <w:rsid w:val="00BA2AF8"/>
    <w:rsid w:val="00BB2650"/>
    <w:rsid w:val="00BB5BDC"/>
    <w:rsid w:val="00BB7B76"/>
    <w:rsid w:val="00BD233D"/>
    <w:rsid w:val="00BF4EF0"/>
    <w:rsid w:val="00C02E44"/>
    <w:rsid w:val="00C147D2"/>
    <w:rsid w:val="00C2075F"/>
    <w:rsid w:val="00C23799"/>
    <w:rsid w:val="00C274C9"/>
    <w:rsid w:val="00C31E02"/>
    <w:rsid w:val="00C45BC1"/>
    <w:rsid w:val="00C54291"/>
    <w:rsid w:val="00C623EC"/>
    <w:rsid w:val="00C672C3"/>
    <w:rsid w:val="00C712B2"/>
    <w:rsid w:val="00C94325"/>
    <w:rsid w:val="00C9681A"/>
    <w:rsid w:val="00C97FED"/>
    <w:rsid w:val="00CA1DBB"/>
    <w:rsid w:val="00CA2622"/>
    <w:rsid w:val="00CA7F2C"/>
    <w:rsid w:val="00CA7FF8"/>
    <w:rsid w:val="00CB5DE7"/>
    <w:rsid w:val="00CC068D"/>
    <w:rsid w:val="00CC4922"/>
    <w:rsid w:val="00CD1FF6"/>
    <w:rsid w:val="00CE25C7"/>
    <w:rsid w:val="00CE3335"/>
    <w:rsid w:val="00CE3ADC"/>
    <w:rsid w:val="00CE4849"/>
    <w:rsid w:val="00CE5C8E"/>
    <w:rsid w:val="00CE5F49"/>
    <w:rsid w:val="00D01626"/>
    <w:rsid w:val="00D13966"/>
    <w:rsid w:val="00D33A4D"/>
    <w:rsid w:val="00D33F76"/>
    <w:rsid w:val="00D41F5E"/>
    <w:rsid w:val="00D42E6E"/>
    <w:rsid w:val="00D43DC0"/>
    <w:rsid w:val="00D54E56"/>
    <w:rsid w:val="00D6407D"/>
    <w:rsid w:val="00D93E78"/>
    <w:rsid w:val="00DC6E91"/>
    <w:rsid w:val="00DC7514"/>
    <w:rsid w:val="00DD3845"/>
    <w:rsid w:val="00DD5039"/>
    <w:rsid w:val="00E1687A"/>
    <w:rsid w:val="00E20A2E"/>
    <w:rsid w:val="00E26582"/>
    <w:rsid w:val="00E277DE"/>
    <w:rsid w:val="00E27EE9"/>
    <w:rsid w:val="00E3239D"/>
    <w:rsid w:val="00E3254B"/>
    <w:rsid w:val="00E3439B"/>
    <w:rsid w:val="00E42C5F"/>
    <w:rsid w:val="00E61037"/>
    <w:rsid w:val="00E65A1B"/>
    <w:rsid w:val="00E72F1F"/>
    <w:rsid w:val="00E934AB"/>
    <w:rsid w:val="00EA06AC"/>
    <w:rsid w:val="00EA08BF"/>
    <w:rsid w:val="00EA24FB"/>
    <w:rsid w:val="00EA3F5E"/>
    <w:rsid w:val="00EB3204"/>
    <w:rsid w:val="00EB50BA"/>
    <w:rsid w:val="00EC3D33"/>
    <w:rsid w:val="00ED302A"/>
    <w:rsid w:val="00ED3A42"/>
    <w:rsid w:val="00EE02BC"/>
    <w:rsid w:val="00EE6970"/>
    <w:rsid w:val="00EF38D0"/>
    <w:rsid w:val="00EF3DDF"/>
    <w:rsid w:val="00EF4A8C"/>
    <w:rsid w:val="00F2678C"/>
    <w:rsid w:val="00F27B38"/>
    <w:rsid w:val="00F27E3D"/>
    <w:rsid w:val="00F40278"/>
    <w:rsid w:val="00F41832"/>
    <w:rsid w:val="00F51D34"/>
    <w:rsid w:val="00F56988"/>
    <w:rsid w:val="00F620FB"/>
    <w:rsid w:val="00F6571F"/>
    <w:rsid w:val="00F8687E"/>
    <w:rsid w:val="00F93331"/>
    <w:rsid w:val="00F95549"/>
    <w:rsid w:val="00FA1E24"/>
    <w:rsid w:val="00FA24FB"/>
    <w:rsid w:val="00FA632B"/>
    <w:rsid w:val="00FB38EA"/>
    <w:rsid w:val="00FB5E0F"/>
    <w:rsid w:val="00FB6AFF"/>
    <w:rsid w:val="00FC1740"/>
    <w:rsid w:val="00FC3929"/>
    <w:rsid w:val="00FC4D8F"/>
    <w:rsid w:val="00FD06D3"/>
    <w:rsid w:val="00FD7687"/>
    <w:rsid w:val="00FE3157"/>
    <w:rsid w:val="00FE6865"/>
    <w:rsid w:val="00FE6993"/>
    <w:rsid w:val="05590A06"/>
    <w:rsid w:val="0A9E2296"/>
    <w:rsid w:val="0DC92533"/>
    <w:rsid w:val="0EA82861"/>
    <w:rsid w:val="0F8866B1"/>
    <w:rsid w:val="10A21DB9"/>
    <w:rsid w:val="18AF0B13"/>
    <w:rsid w:val="1C1D5B84"/>
    <w:rsid w:val="1CFD7480"/>
    <w:rsid w:val="1EF63BE6"/>
    <w:rsid w:val="1F44296F"/>
    <w:rsid w:val="23781A9D"/>
    <w:rsid w:val="238116C7"/>
    <w:rsid w:val="25E60302"/>
    <w:rsid w:val="260375F6"/>
    <w:rsid w:val="27EE4E38"/>
    <w:rsid w:val="28136DCA"/>
    <w:rsid w:val="2D5A6E03"/>
    <w:rsid w:val="2DF4184E"/>
    <w:rsid w:val="33A72FD6"/>
    <w:rsid w:val="33F660A3"/>
    <w:rsid w:val="345345E7"/>
    <w:rsid w:val="387B28E9"/>
    <w:rsid w:val="3DD21254"/>
    <w:rsid w:val="41B74E97"/>
    <w:rsid w:val="42A73211"/>
    <w:rsid w:val="42BC196F"/>
    <w:rsid w:val="43E517F0"/>
    <w:rsid w:val="48D77474"/>
    <w:rsid w:val="49843C3D"/>
    <w:rsid w:val="4E4F0C03"/>
    <w:rsid w:val="52B6179E"/>
    <w:rsid w:val="535D4153"/>
    <w:rsid w:val="5D7A63E2"/>
    <w:rsid w:val="615359F4"/>
    <w:rsid w:val="63012783"/>
    <w:rsid w:val="6A7C3A5A"/>
    <w:rsid w:val="73F63560"/>
    <w:rsid w:val="74C378C8"/>
    <w:rsid w:val="790016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rules v:ext="edit">
        <o:r id="V:Rule1" type="connector" idref="#AutoShape 287"/>
        <o:r id="V:Rule2" type="connector" idref="#AutoShape 288"/>
        <o:r id="V:Rule3" type="connector" idref="#AutoShape 289"/>
        <o:r id="V:Rule4" type="connector" idref="#AutoShape 290"/>
        <o:r id="V:Rule5" type="connector" idref="#AutoShape 291"/>
        <o:r id="V:Rule6" type="connector" idref="#AutoShape 292"/>
        <o:r id="V:Rule7" type="connector" idref="#AutoShape 293"/>
        <o:r id="V:Rule8" type="connector" idref="#AutoShape 294"/>
        <o:r id="V:Rule9" type="connector" idref="#AutoShape 295"/>
        <o:r id="V:Rule10" type="connector" idref="#AutoShape 297"/>
        <o:r id="V:Rule11" type="connector" idref="#AutoShape 298"/>
        <o:r id="V:Rule12" type="connector" idref="#AutoShape 30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39"/>
    <w:qFormat/>
    <w:uiPriority w:val="9"/>
    <w:pPr>
      <w:ind w:firstLine="600" w:firstLineChars="200"/>
      <w:outlineLvl w:val="0"/>
    </w:pPr>
    <w:rPr>
      <w:rFonts w:ascii="黑体" w:hAnsi="黑体" w:eastAsia="黑体" w:cs="宋体"/>
      <w:color w:val="000000"/>
      <w:kern w:val="0"/>
      <w:sz w:val="30"/>
      <w:szCs w:val="30"/>
    </w:rPr>
  </w:style>
  <w:style w:type="paragraph" w:styleId="4">
    <w:name w:val="heading 2"/>
    <w:basedOn w:val="1"/>
    <w:next w:val="1"/>
    <w:link w:val="30"/>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link w:val="41"/>
    <w:qFormat/>
    <w:uiPriority w:val="9"/>
    <w:pPr>
      <w:ind w:right="300"/>
      <w:outlineLvl w:val="2"/>
    </w:pPr>
    <w:rPr>
      <w:rFonts w:ascii="仿宋_GB2312" w:hAnsi="Calibri" w:eastAsia="仿宋_GB2312" w:cs="Times New Roman"/>
      <w:sz w:val="30"/>
      <w:szCs w:val="30"/>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toc 3"/>
    <w:basedOn w:val="1"/>
    <w:next w:val="1"/>
    <w:unhideWhenUsed/>
    <w:qFormat/>
    <w:uiPriority w:val="39"/>
    <w:pPr>
      <w:ind w:left="840" w:leftChars="400"/>
    </w:pPr>
  </w:style>
  <w:style w:type="paragraph" w:styleId="6">
    <w:name w:val="Document Map"/>
    <w:basedOn w:val="1"/>
    <w:link w:val="37"/>
    <w:unhideWhenUsed/>
    <w:qFormat/>
    <w:uiPriority w:val="0"/>
    <w:rPr>
      <w:rFonts w:ascii="宋体"/>
      <w:sz w:val="18"/>
      <w:szCs w:val="18"/>
    </w:rPr>
  </w:style>
  <w:style w:type="paragraph" w:styleId="7">
    <w:name w:val="annotation text"/>
    <w:basedOn w:val="1"/>
    <w:link w:val="43"/>
    <w:unhideWhenUsed/>
    <w:qFormat/>
    <w:uiPriority w:val="99"/>
    <w:pPr>
      <w:jc w:val="left"/>
    </w:pPr>
    <w:rPr>
      <w:rFonts w:ascii="Calibri" w:hAnsi="Calibri" w:eastAsia="宋体" w:cs="Times New Roman"/>
    </w:rPr>
  </w:style>
  <w:style w:type="paragraph" w:styleId="8">
    <w:name w:val="Balloon Text"/>
    <w:basedOn w:val="1"/>
    <w:link w:val="44"/>
    <w:unhideWhenUsed/>
    <w:qFormat/>
    <w:uiPriority w:val="0"/>
    <w:rPr>
      <w:sz w:val="18"/>
      <w:szCs w:val="18"/>
    </w:rPr>
  </w:style>
  <w:style w:type="paragraph" w:styleId="9">
    <w:name w:val="footer"/>
    <w:basedOn w:val="1"/>
    <w:link w:val="29"/>
    <w:unhideWhenUsed/>
    <w:qFormat/>
    <w:uiPriority w:val="99"/>
    <w:pPr>
      <w:tabs>
        <w:tab w:val="center" w:pos="4153"/>
        <w:tab w:val="right" w:pos="8306"/>
      </w:tabs>
      <w:snapToGrid w:val="0"/>
      <w:jc w:val="left"/>
    </w:pPr>
    <w:rPr>
      <w:sz w:val="18"/>
      <w:szCs w:val="18"/>
    </w:rPr>
  </w:style>
  <w:style w:type="paragraph" w:styleId="10">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link w:val="40"/>
    <w:semiHidden/>
    <w:qFormat/>
    <w:uiPriority w:val="0"/>
    <w:pPr>
      <w:snapToGrid w:val="0"/>
      <w:jc w:val="left"/>
    </w:pPr>
    <w:rPr>
      <w:rFonts w:ascii="Times New Roman" w:hAnsi="Times New Roman"/>
      <w:sz w:val="18"/>
      <w:szCs w:val="18"/>
    </w:rPr>
  </w:style>
  <w:style w:type="paragraph" w:styleId="12">
    <w:name w:val="HTML Preformatted"/>
    <w:basedOn w:val="1"/>
    <w:link w:val="3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5">
    <w:name w:val="Table Grid"/>
    <w:basedOn w:val="1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7">
    <w:name w:val="Hyperlink"/>
    <w:basedOn w:val="16"/>
    <w:unhideWhenUsed/>
    <w:qFormat/>
    <w:uiPriority w:val="99"/>
    <w:rPr>
      <w:rFonts w:hint="default" w:ascii="ˎ̥" w:hAnsi="ˎ̥"/>
      <w:color w:val="0453CC"/>
      <w:sz w:val="20"/>
      <w:szCs w:val="20"/>
      <w:u w:val="none"/>
    </w:rPr>
  </w:style>
  <w:style w:type="character" w:styleId="18">
    <w:name w:val="annotation reference"/>
    <w:basedOn w:val="16"/>
    <w:unhideWhenUsed/>
    <w:qFormat/>
    <w:uiPriority w:val="0"/>
    <w:rPr>
      <w:sz w:val="21"/>
      <w:szCs w:val="21"/>
    </w:rPr>
  </w:style>
  <w:style w:type="character" w:styleId="19">
    <w:name w:val="footnote reference"/>
    <w:unhideWhenUsed/>
    <w:qFormat/>
    <w:uiPriority w:val="0"/>
    <w:rPr>
      <w:rFonts w:ascii="Times New Roman" w:hAnsi="Times New Roman" w:cs="Times New Roman"/>
      <w:vertAlign w:val="superscript"/>
    </w:rPr>
  </w:style>
  <w:style w:type="paragraph" w:customStyle="1" w:styleId="20">
    <w:name w:val="p0"/>
    <w:basedOn w:val="1"/>
    <w:qFormat/>
    <w:uiPriority w:val="0"/>
    <w:pPr>
      <w:widowControl/>
    </w:pPr>
    <w:rPr>
      <w:rFonts w:ascii="Calibri" w:hAnsi="Calibri" w:eastAsia="宋体" w:cs="宋体"/>
      <w:kern w:val="0"/>
      <w:szCs w:val="21"/>
    </w:rPr>
  </w:style>
  <w:style w:type="paragraph" w:customStyle="1" w:styleId="21">
    <w:name w:val="Heading 1"/>
    <w:basedOn w:val="1"/>
    <w:qFormat/>
    <w:uiPriority w:val="1"/>
    <w:pPr>
      <w:spacing w:line="541" w:lineRule="exact"/>
      <w:ind w:left="1919" w:right="2017"/>
      <w:jc w:val="center"/>
      <w:outlineLvl w:val="1"/>
    </w:pPr>
    <w:rPr>
      <w:rFonts w:ascii="Noto Sans Mono CJK JP Regular" w:hAnsi="Noto Sans Mono CJK JP Regular" w:eastAsia="Noto Sans Mono CJK JP Regular" w:cs="Noto Sans Mono CJK JP Regular"/>
      <w:sz w:val="36"/>
      <w:szCs w:val="36"/>
    </w:rPr>
  </w:style>
  <w:style w:type="paragraph" w:customStyle="1" w:styleId="22">
    <w:name w:val="列出段落3"/>
    <w:basedOn w:val="1"/>
    <w:qFormat/>
    <w:uiPriority w:val="0"/>
    <w:pPr>
      <w:ind w:firstLine="420" w:firstLineChars="200"/>
    </w:pPr>
    <w:rPr>
      <w:rFonts w:ascii="Times New Roman" w:hAnsi="Times New Roman" w:eastAsia="宋体" w:cs="Times New Roman"/>
      <w:szCs w:val="24"/>
    </w:rPr>
  </w:style>
  <w:style w:type="paragraph" w:customStyle="1" w:styleId="23">
    <w:name w:val="Revision"/>
    <w:semiHidden/>
    <w:qFormat/>
    <w:uiPriority w:val="99"/>
    <w:rPr>
      <w:rFonts w:ascii="Calibri" w:hAnsi="Calibri" w:eastAsia="宋体" w:cs="黑体"/>
      <w:kern w:val="2"/>
      <w:sz w:val="21"/>
      <w:szCs w:val="22"/>
      <w:lang w:val="en-US" w:eastAsia="zh-CN" w:bidi="ar-SA"/>
    </w:rPr>
  </w:style>
  <w:style w:type="paragraph" w:customStyle="1" w:styleId="24">
    <w:name w:val="Default"/>
    <w:qFormat/>
    <w:uiPriority w:val="99"/>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paragraph" w:customStyle="1" w:styleId="25">
    <w:name w:val="列出段落4"/>
    <w:basedOn w:val="1"/>
    <w:qFormat/>
    <w:uiPriority w:val="0"/>
    <w:pPr>
      <w:ind w:firstLine="200" w:firstLineChars="200"/>
    </w:pPr>
    <w:rPr>
      <w:rFonts w:ascii="Calibri" w:hAnsi="Calibri" w:eastAsia="宋体" w:cs="Times New Roman"/>
    </w:rPr>
  </w:style>
  <w:style w:type="paragraph" w:customStyle="1" w:styleId="26">
    <w:name w:val="List Paragraph"/>
    <w:basedOn w:val="1"/>
    <w:qFormat/>
    <w:uiPriority w:val="34"/>
    <w:pPr>
      <w:ind w:firstLine="420" w:firstLineChars="200"/>
    </w:pPr>
  </w:style>
  <w:style w:type="paragraph" w:customStyle="1" w:styleId="27">
    <w:name w:val="列出段落1"/>
    <w:basedOn w:val="1"/>
    <w:qFormat/>
    <w:uiPriority w:val="34"/>
    <w:pPr>
      <w:ind w:firstLine="420" w:firstLineChars="200"/>
    </w:pPr>
    <w:rPr>
      <w:rFonts w:ascii="Calibri" w:hAnsi="Calibri" w:eastAsia="宋体" w:cs="Times New Roman"/>
    </w:rPr>
  </w:style>
  <w:style w:type="paragraph" w:customStyle="1" w:styleId="28">
    <w:name w:val="juzhong"/>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29">
    <w:name w:val="页脚 Char"/>
    <w:basedOn w:val="16"/>
    <w:link w:val="9"/>
    <w:qFormat/>
    <w:uiPriority w:val="99"/>
    <w:rPr>
      <w:sz w:val="18"/>
      <w:szCs w:val="18"/>
    </w:rPr>
  </w:style>
  <w:style w:type="character" w:customStyle="1" w:styleId="30">
    <w:name w:val="标题 2 Char"/>
    <w:basedOn w:val="16"/>
    <w:link w:val="4"/>
    <w:qFormat/>
    <w:uiPriority w:val="0"/>
    <w:rPr>
      <w:rFonts w:ascii="Cambria" w:hAnsi="Cambria" w:eastAsia="宋体" w:cs="Times New Roman"/>
      <w:b/>
      <w:bCs/>
      <w:sz w:val="32"/>
      <w:szCs w:val="32"/>
    </w:rPr>
  </w:style>
  <w:style w:type="character" w:customStyle="1" w:styleId="31">
    <w:name w:val="Intense Emphasis"/>
    <w:basedOn w:val="16"/>
    <w:qFormat/>
    <w:uiPriority w:val="21"/>
    <w:rPr>
      <w:b/>
      <w:bCs/>
      <w:i/>
      <w:iCs/>
      <w:color w:val="4F81BD"/>
    </w:rPr>
  </w:style>
  <w:style w:type="character" w:customStyle="1" w:styleId="32">
    <w:name w:val="标题 4 Char Char"/>
    <w:qFormat/>
    <w:uiPriority w:val="0"/>
    <w:rPr>
      <w:rFonts w:ascii="Calibri" w:hAnsi="Calibri"/>
      <w:b/>
      <w:bCs/>
      <w:sz w:val="28"/>
      <w:szCs w:val="28"/>
      <w:lang w:eastAsia="en-US" w:bidi="en-US"/>
    </w:rPr>
  </w:style>
  <w:style w:type="character" w:customStyle="1" w:styleId="33">
    <w:name w:val="脚注文本 Char"/>
    <w:basedOn w:val="16"/>
    <w:semiHidden/>
    <w:qFormat/>
    <w:uiPriority w:val="99"/>
    <w:rPr>
      <w:kern w:val="2"/>
      <w:sz w:val="18"/>
      <w:szCs w:val="18"/>
    </w:rPr>
  </w:style>
  <w:style w:type="character" w:customStyle="1" w:styleId="34">
    <w:name w:val="批注文字 Char1"/>
    <w:basedOn w:val="16"/>
    <w:semiHidden/>
    <w:qFormat/>
    <w:uiPriority w:val="99"/>
    <w:rPr>
      <w:kern w:val="2"/>
      <w:sz w:val="21"/>
      <w:szCs w:val="22"/>
    </w:rPr>
  </w:style>
  <w:style w:type="character" w:customStyle="1" w:styleId="35">
    <w:name w:val="文档结构图 Char1"/>
    <w:basedOn w:val="16"/>
    <w:semiHidden/>
    <w:qFormat/>
    <w:uiPriority w:val="99"/>
    <w:rPr>
      <w:rFonts w:ascii="宋体" w:eastAsia="宋体"/>
      <w:sz w:val="18"/>
      <w:szCs w:val="18"/>
    </w:rPr>
  </w:style>
  <w:style w:type="character" w:customStyle="1" w:styleId="36">
    <w:name w:val="HTML 预设格式 Char"/>
    <w:basedOn w:val="16"/>
    <w:link w:val="12"/>
    <w:qFormat/>
    <w:uiPriority w:val="99"/>
    <w:rPr>
      <w:rFonts w:ascii="宋体" w:hAnsi="宋体" w:eastAsia="宋体" w:cs="宋体"/>
      <w:kern w:val="0"/>
      <w:sz w:val="24"/>
      <w:szCs w:val="24"/>
    </w:rPr>
  </w:style>
  <w:style w:type="character" w:customStyle="1" w:styleId="37">
    <w:name w:val="文档结构图 Char"/>
    <w:basedOn w:val="16"/>
    <w:link w:val="6"/>
    <w:qFormat/>
    <w:uiPriority w:val="0"/>
    <w:rPr>
      <w:rFonts w:ascii="宋体"/>
      <w:sz w:val="18"/>
      <w:szCs w:val="18"/>
    </w:rPr>
  </w:style>
  <w:style w:type="character" w:customStyle="1" w:styleId="38">
    <w:name w:val="脚注文本 Char2"/>
    <w:basedOn w:val="16"/>
    <w:semiHidden/>
    <w:qFormat/>
    <w:uiPriority w:val="99"/>
    <w:rPr>
      <w:sz w:val="18"/>
      <w:szCs w:val="18"/>
    </w:rPr>
  </w:style>
  <w:style w:type="character" w:customStyle="1" w:styleId="39">
    <w:name w:val="标题 1 Char"/>
    <w:basedOn w:val="16"/>
    <w:link w:val="3"/>
    <w:qFormat/>
    <w:uiPriority w:val="9"/>
    <w:rPr>
      <w:rFonts w:ascii="黑体" w:hAnsi="黑体" w:eastAsia="黑体" w:cs="宋体"/>
      <w:color w:val="000000"/>
      <w:kern w:val="0"/>
      <w:sz w:val="30"/>
      <w:szCs w:val="30"/>
    </w:rPr>
  </w:style>
  <w:style w:type="character" w:customStyle="1" w:styleId="40">
    <w:name w:val="脚注文本 Char1"/>
    <w:basedOn w:val="16"/>
    <w:link w:val="11"/>
    <w:semiHidden/>
    <w:qFormat/>
    <w:uiPriority w:val="0"/>
    <w:rPr>
      <w:rFonts w:ascii="Times New Roman" w:hAnsi="Times New Roman"/>
      <w:sz w:val="18"/>
      <w:szCs w:val="18"/>
    </w:rPr>
  </w:style>
  <w:style w:type="character" w:customStyle="1" w:styleId="41">
    <w:name w:val="标题 3 Char"/>
    <w:basedOn w:val="16"/>
    <w:link w:val="5"/>
    <w:qFormat/>
    <w:uiPriority w:val="9"/>
    <w:rPr>
      <w:rFonts w:ascii="仿宋_GB2312" w:hAnsi="Calibri" w:eastAsia="仿宋_GB2312" w:cs="Times New Roman"/>
      <w:sz w:val="30"/>
      <w:szCs w:val="30"/>
    </w:rPr>
  </w:style>
  <w:style w:type="character" w:customStyle="1" w:styleId="42">
    <w:name w:val="页眉 Char"/>
    <w:basedOn w:val="16"/>
    <w:link w:val="10"/>
    <w:qFormat/>
    <w:uiPriority w:val="99"/>
    <w:rPr>
      <w:sz w:val="18"/>
      <w:szCs w:val="18"/>
    </w:rPr>
  </w:style>
  <w:style w:type="character" w:customStyle="1" w:styleId="43">
    <w:name w:val="批注文字 Char"/>
    <w:basedOn w:val="16"/>
    <w:link w:val="7"/>
    <w:semiHidden/>
    <w:qFormat/>
    <w:uiPriority w:val="0"/>
    <w:rPr>
      <w:rFonts w:ascii="Calibri" w:hAnsi="Calibri" w:eastAsia="宋体" w:cs="Times New Roman"/>
    </w:rPr>
  </w:style>
  <w:style w:type="character" w:customStyle="1" w:styleId="44">
    <w:name w:val="批注框文本 Char"/>
    <w:basedOn w:val="16"/>
    <w:link w:val="8"/>
    <w:semiHidden/>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3925</Words>
  <Characters>4121</Characters>
  <Lines>19</Lines>
  <Paragraphs>5</Paragraphs>
  <TotalTime>0</TotalTime>
  <ScaleCrop>false</ScaleCrop>
  <LinksUpToDate>false</LinksUpToDate>
  <CharactersWithSpaces>4142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2020-02-26T11:29:00Z</dcterms:created>
  <dc:creator>裴建君2</dc:creator>
  <cp:lastModifiedBy>丁蒙/办公室/南宁/PBC</cp:lastModifiedBy>
  <cp:lastPrinted>2017-12-26T09:10:00Z</cp:lastPrinted>
  <dcterms:modified xsi:type="dcterms:W3CDTF">2023-08-30T09:47:58Z</dcterms:modified>
  <dc:title>编号：57014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FEBE1A7173CC4FD79DF70289B8CBFEA1_12</vt:lpwstr>
  </property>
</Properties>
</file>