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00"/>
        <w:rPr>
          <w:rFonts w:hint="eastAsia" w:ascii="Times New Roman" w:hAnsi="Times New Roman" w:eastAsia="黑体" w:cs="Times New Roman"/>
          <w:color w:val="auto"/>
          <w:sz w:val="30"/>
          <w:szCs w:val="30"/>
        </w:rPr>
      </w:pPr>
      <w:r>
        <w:rPr>
          <w:rFonts w:ascii="Times New Roman" w:hAnsi="Times New Roman" w:eastAsia="黑体" w:cs="Times New Roman"/>
          <w:color w:val="auto"/>
          <w:sz w:val="30"/>
          <w:szCs w:val="30"/>
        </w:rPr>
        <w:t>编号：</w:t>
      </w:r>
      <w:r>
        <w:rPr>
          <w:rFonts w:hint="eastAsia" w:ascii="Times New Roman" w:hAnsi="Times New Roman" w:eastAsia="黑体" w:cs="Times New Roman"/>
          <w:color w:val="auto"/>
          <w:sz w:val="30"/>
          <w:szCs w:val="30"/>
        </w:rPr>
        <w:t xml:space="preserve">000171113003               </w:t>
      </w:r>
    </w:p>
    <w:p>
      <w:pPr>
        <w:ind w:right="300"/>
        <w:rPr>
          <w:rFonts w:hint="eastAsia" w:ascii="Times New Roman" w:hAnsi="Times New Roman" w:eastAsia="黑体" w:cs="Times New Roman"/>
          <w:color w:val="auto"/>
          <w:sz w:val="30"/>
          <w:szCs w:val="30"/>
        </w:rPr>
      </w:pPr>
    </w:p>
    <w:p>
      <w:pPr>
        <w:ind w:right="300"/>
        <w:rPr>
          <w:rFonts w:hint="eastAsia" w:ascii="Times New Roman" w:hAnsi="Times New Roman" w:eastAsia="黑体" w:cs="Times New Roman"/>
          <w:color w:val="auto"/>
          <w:sz w:val="30"/>
          <w:szCs w:val="30"/>
        </w:rPr>
      </w:pPr>
    </w:p>
    <w:p>
      <w:pPr>
        <w:ind w:right="300"/>
        <w:rPr>
          <w:rFonts w:hint="eastAsia" w:ascii="Times New Roman" w:hAnsi="Times New Roman" w:eastAsia="黑体" w:cs="Times New Roman"/>
          <w:color w:val="auto"/>
          <w:sz w:val="30"/>
          <w:szCs w:val="30"/>
        </w:rPr>
      </w:pPr>
    </w:p>
    <w:p>
      <w:pPr>
        <w:ind w:right="300"/>
        <w:jc w:val="center"/>
        <w:rPr>
          <w:rFonts w:ascii="Times New Roman" w:hAnsi="Times New Roman" w:eastAsia="黑体" w:cs="Times New Roman"/>
          <w:color w:val="auto"/>
          <w:sz w:val="30"/>
          <w:szCs w:val="30"/>
        </w:rPr>
      </w:pPr>
    </w:p>
    <w:p>
      <w:pPr>
        <w:ind w:right="300"/>
        <w:jc w:val="center"/>
        <w:rPr>
          <w:rFonts w:ascii="Times New Roman" w:hAnsi="Times New Roman" w:eastAsia="黑体" w:cs="Times New Roman"/>
          <w:color w:val="auto"/>
          <w:sz w:val="52"/>
          <w:szCs w:val="52"/>
        </w:rPr>
      </w:pPr>
      <w:r>
        <w:rPr>
          <w:rFonts w:ascii="Times New Roman" w:hAnsi="Times New Roman" w:eastAsia="黑体" w:cs="Times New Roman"/>
          <w:color w:val="auto"/>
          <w:sz w:val="52"/>
          <w:szCs w:val="52"/>
        </w:rPr>
        <w:t>“</w:t>
      </w:r>
      <w:r>
        <w:rPr>
          <w:rFonts w:hint="eastAsia" w:ascii="Times New Roman" w:hAnsi="Times New Roman" w:eastAsia="黑体" w:cs="Times New Roman"/>
          <w:color w:val="auto"/>
          <w:sz w:val="52"/>
          <w:szCs w:val="52"/>
        </w:rPr>
        <w:t>分局办理的保险机构经营结售汇业务以外的外汇业务审批</w:t>
      </w:r>
      <w:r>
        <w:rPr>
          <w:rFonts w:ascii="Times New Roman" w:hAnsi="Times New Roman" w:eastAsia="黑体" w:cs="Times New Roman"/>
          <w:color w:val="auto"/>
          <w:sz w:val="52"/>
          <w:szCs w:val="52"/>
        </w:rPr>
        <w:t>”</w:t>
      </w:r>
    </w:p>
    <w:p>
      <w:pPr>
        <w:ind w:right="300"/>
        <w:jc w:val="center"/>
        <w:rPr>
          <w:rFonts w:ascii="Times New Roman" w:hAnsi="Times New Roman" w:eastAsia="黑体" w:cs="Times New Roman"/>
          <w:color w:val="auto"/>
          <w:sz w:val="52"/>
          <w:szCs w:val="52"/>
        </w:rPr>
      </w:pPr>
      <w:r>
        <w:rPr>
          <w:rFonts w:ascii="Times New Roman" w:hAnsi="Times New Roman" w:eastAsia="黑体" w:cs="Times New Roman"/>
          <w:color w:val="auto"/>
          <w:sz w:val="52"/>
          <w:szCs w:val="52"/>
        </w:rPr>
        <w:t>行政审批服务指南</w:t>
      </w:r>
    </w:p>
    <w:p>
      <w:pPr>
        <w:ind w:right="300"/>
        <w:jc w:val="center"/>
        <w:rPr>
          <w:rFonts w:ascii="Times New Roman" w:hAnsi="Times New Roman" w:eastAsia="黑体" w:cs="Times New Roman"/>
          <w:color w:val="auto"/>
          <w:sz w:val="52"/>
          <w:szCs w:val="52"/>
        </w:rPr>
      </w:pPr>
    </w:p>
    <w:p>
      <w:pPr>
        <w:ind w:right="300"/>
        <w:jc w:val="center"/>
        <w:rPr>
          <w:rFonts w:ascii="Times New Roman" w:hAnsi="Times New Roman" w:eastAsia="黑体" w:cs="Times New Roman"/>
          <w:color w:val="auto"/>
          <w:sz w:val="52"/>
          <w:szCs w:val="52"/>
        </w:rPr>
      </w:pPr>
    </w:p>
    <w:p>
      <w:pPr>
        <w:ind w:right="300"/>
        <w:jc w:val="center"/>
        <w:rPr>
          <w:rFonts w:ascii="Times New Roman" w:hAnsi="Times New Roman" w:eastAsia="黑体" w:cs="Times New Roman"/>
          <w:color w:val="auto"/>
          <w:sz w:val="52"/>
          <w:szCs w:val="52"/>
        </w:rPr>
      </w:pPr>
    </w:p>
    <w:p>
      <w:pPr>
        <w:ind w:right="300"/>
        <w:jc w:val="center"/>
        <w:rPr>
          <w:rFonts w:ascii="Times New Roman" w:hAnsi="Times New Roman" w:eastAsia="黑体" w:cs="Times New Roman"/>
          <w:color w:val="auto"/>
          <w:sz w:val="52"/>
          <w:szCs w:val="52"/>
        </w:rPr>
      </w:pPr>
    </w:p>
    <w:p>
      <w:pPr>
        <w:ind w:right="300"/>
        <w:jc w:val="center"/>
        <w:rPr>
          <w:rFonts w:ascii="Times New Roman" w:hAnsi="Times New Roman" w:eastAsia="黑体" w:cs="Times New Roman"/>
          <w:color w:val="auto"/>
          <w:sz w:val="52"/>
          <w:szCs w:val="52"/>
        </w:rPr>
      </w:pPr>
    </w:p>
    <w:p>
      <w:pPr>
        <w:ind w:right="300"/>
        <w:rPr>
          <w:rFonts w:ascii="Times New Roman" w:hAnsi="Times New Roman" w:eastAsia="仿宋_GB2312" w:cs="Times New Roman"/>
          <w:color w:val="auto"/>
          <w:sz w:val="30"/>
          <w:szCs w:val="30"/>
        </w:rPr>
      </w:pPr>
    </w:p>
    <w:p>
      <w:pPr>
        <w:ind w:right="300"/>
        <w:rPr>
          <w:rFonts w:ascii="Times New Roman" w:hAnsi="Times New Roman" w:eastAsia="仿宋_GB2312" w:cs="Times New Roman"/>
          <w:color w:val="auto"/>
          <w:sz w:val="30"/>
          <w:szCs w:val="30"/>
        </w:rPr>
      </w:pPr>
    </w:p>
    <w:p>
      <w:pPr>
        <w:ind w:right="300"/>
        <w:rPr>
          <w:rFonts w:ascii="Times New Roman" w:hAnsi="Times New Roman" w:eastAsia="仿宋_GB2312" w:cs="Times New Roman"/>
          <w:color w:val="auto"/>
          <w:sz w:val="30"/>
          <w:szCs w:val="30"/>
        </w:rPr>
      </w:pPr>
    </w:p>
    <w:p>
      <w:pPr>
        <w:pStyle w:val="21"/>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宋体" w:hAnsi="宋体" w:eastAsia="宋体" w:cs="宋体"/>
          <w:b w:val="0"/>
          <w:bCs w:val="0"/>
          <w:color w:val="auto"/>
          <w:sz w:val="40"/>
          <w:szCs w:val="40"/>
          <w:lang w:val="en-US" w:eastAsia="zh-CN"/>
        </w:rPr>
      </w:pPr>
      <w:r>
        <w:rPr>
          <w:rFonts w:hint="eastAsia" w:ascii="宋体" w:hAnsi="宋体" w:eastAsia="宋体" w:cs="宋体"/>
          <w:b w:val="0"/>
          <w:bCs w:val="0"/>
          <w:color w:val="auto"/>
          <w:sz w:val="40"/>
          <w:szCs w:val="40"/>
          <w:lang w:val="en-US" w:eastAsia="zh-CN"/>
        </w:rPr>
        <w:t>国家外汇管理局广西壮族自治区分局</w:t>
      </w:r>
    </w:p>
    <w:p>
      <w:pPr>
        <w:pStyle w:val="21"/>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宋体" w:hAnsi="宋体" w:eastAsia="宋体" w:cs="宋体"/>
          <w:b w:val="0"/>
          <w:bCs w:val="0"/>
          <w:color w:val="auto"/>
          <w:sz w:val="40"/>
          <w:szCs w:val="40"/>
          <w:lang w:val="en-US" w:eastAsia="zh-CN"/>
        </w:rPr>
      </w:pPr>
    </w:p>
    <w:p>
      <w:pPr>
        <w:ind w:right="300"/>
        <w:jc w:val="center"/>
        <w:rPr>
          <w:rFonts w:hint="eastAsia" w:ascii="宋体" w:hAnsi="宋体" w:eastAsia="宋体" w:cs="宋体"/>
          <w:b w:val="0"/>
          <w:bCs w:val="0"/>
          <w:color w:val="auto"/>
          <w:sz w:val="40"/>
          <w:szCs w:val="40"/>
          <w:lang w:val="en-US" w:eastAsia="zh-CN"/>
        </w:rPr>
        <w:sectPr>
          <w:headerReference r:id="rId3" w:type="first"/>
          <w:footerReference r:id="rId5" w:type="first"/>
          <w:footerReference r:id="rId4" w:type="default"/>
          <w:pgSz w:w="11906" w:h="16838"/>
          <w:pgMar w:top="1440" w:right="1800" w:bottom="1440" w:left="1800" w:header="851" w:footer="992" w:gutter="0"/>
          <w:cols w:space="720" w:num="1"/>
          <w:titlePg/>
          <w:docGrid w:type="lines" w:linePitch="312" w:charSpace="0"/>
        </w:sectPr>
      </w:pPr>
      <w:r>
        <w:rPr>
          <w:rFonts w:hint="eastAsia" w:ascii="宋体" w:hAnsi="宋体" w:eastAsia="宋体" w:cs="宋体"/>
          <w:b w:val="0"/>
          <w:bCs w:val="0"/>
          <w:color w:val="auto"/>
          <w:sz w:val="40"/>
          <w:szCs w:val="40"/>
          <w:lang w:val="en-US" w:eastAsia="zh-CN"/>
        </w:rPr>
        <w:t>202</w:t>
      </w:r>
      <w:r>
        <w:rPr>
          <w:rFonts w:hint="eastAsia" w:ascii="宋体" w:hAnsi="宋体" w:cs="宋体"/>
          <w:b w:val="0"/>
          <w:bCs w:val="0"/>
          <w:color w:val="auto"/>
          <w:sz w:val="40"/>
          <w:szCs w:val="40"/>
          <w:lang w:val="en-US" w:eastAsia="zh-CN"/>
        </w:rPr>
        <w:t>3</w:t>
      </w:r>
      <w:r>
        <w:rPr>
          <w:rFonts w:hint="eastAsia" w:ascii="宋体" w:hAnsi="宋体" w:eastAsia="宋体" w:cs="宋体"/>
          <w:b w:val="0"/>
          <w:bCs w:val="0"/>
          <w:color w:val="auto"/>
          <w:sz w:val="40"/>
          <w:szCs w:val="40"/>
          <w:lang w:val="en-US" w:eastAsia="zh-CN"/>
        </w:rPr>
        <w:t>年</w:t>
      </w:r>
      <w:r>
        <w:rPr>
          <w:rFonts w:hint="eastAsia" w:ascii="宋体" w:hAnsi="宋体" w:cs="宋体"/>
          <w:b w:val="0"/>
          <w:bCs w:val="0"/>
          <w:color w:val="auto"/>
          <w:sz w:val="40"/>
          <w:szCs w:val="40"/>
          <w:lang w:val="en-US" w:eastAsia="zh-CN"/>
        </w:rPr>
        <w:t>8</w:t>
      </w:r>
      <w:r>
        <w:rPr>
          <w:rFonts w:hint="eastAsia" w:ascii="宋体" w:hAnsi="宋体" w:eastAsia="宋体" w:cs="宋体"/>
          <w:b w:val="0"/>
          <w:bCs w:val="0"/>
          <w:color w:val="auto"/>
          <w:sz w:val="40"/>
          <w:szCs w:val="40"/>
          <w:lang w:val="en-US" w:eastAsia="zh-CN"/>
        </w:rPr>
        <w:t>月</w:t>
      </w:r>
    </w:p>
    <w:p>
      <w:pPr>
        <w:adjustRightInd w:val="0"/>
        <w:spacing w:line="360" w:lineRule="auto"/>
        <w:jc w:val="left"/>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val="en-US" w:eastAsia="zh-CN"/>
        </w:rPr>
        <w:t xml:space="preserve">    </w:t>
      </w:r>
      <w:r>
        <w:rPr>
          <w:rFonts w:ascii="Times New Roman" w:hAnsi="Times New Roman" w:eastAsia="黑体" w:cs="Times New Roman"/>
          <w:color w:val="auto"/>
          <w:sz w:val="30"/>
          <w:szCs w:val="30"/>
        </w:rPr>
        <w:t>一、项目信息</w:t>
      </w:r>
    </w:p>
    <w:p>
      <w:pPr>
        <w:adjustRightInd w:val="0"/>
        <w:spacing w:line="360" w:lineRule="auto"/>
        <w:ind w:firstLine="585"/>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项目名称：</w:t>
      </w:r>
      <w:r>
        <w:rPr>
          <w:rFonts w:hint="eastAsia" w:ascii="Times New Roman" w:hAnsi="Times New Roman" w:eastAsia="仿宋_GB2312" w:cs="Times New Roman"/>
          <w:color w:val="auto"/>
          <w:sz w:val="30"/>
          <w:szCs w:val="30"/>
        </w:rPr>
        <w:t>分局办理的保险机构经营结售汇业务以外的外汇业务审批</w:t>
      </w:r>
      <w:r>
        <w:rPr>
          <w:rFonts w:ascii="Times New Roman" w:hAnsi="Times New Roman" w:eastAsia="仿宋_GB2312" w:cs="Times New Roman"/>
          <w:color w:val="auto"/>
          <w:sz w:val="30"/>
          <w:szCs w:val="30"/>
        </w:rPr>
        <w:t>；</w:t>
      </w:r>
    </w:p>
    <w:p>
      <w:pPr>
        <w:adjustRightInd w:val="0"/>
        <w:spacing w:line="360" w:lineRule="auto"/>
        <w:ind w:firstLine="585"/>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项目编号：</w:t>
      </w:r>
      <w:r>
        <w:rPr>
          <w:rFonts w:hint="eastAsia" w:ascii="Times New Roman" w:hAnsi="Times New Roman" w:eastAsia="仿宋_GB2312" w:cs="Times New Roman"/>
          <w:color w:val="auto"/>
          <w:sz w:val="30"/>
          <w:szCs w:val="30"/>
        </w:rPr>
        <w:t>000171113003</w:t>
      </w:r>
      <w:r>
        <w:rPr>
          <w:rFonts w:ascii="Times New Roman" w:hAnsi="Times New Roman" w:eastAsia="仿宋_GB2312" w:cs="Times New Roman"/>
          <w:color w:val="auto"/>
          <w:sz w:val="30"/>
          <w:szCs w:val="30"/>
        </w:rPr>
        <w:t>；</w:t>
      </w:r>
    </w:p>
    <w:p>
      <w:pPr>
        <w:adjustRightInd w:val="0"/>
        <w:spacing w:line="360" w:lineRule="auto"/>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审批类别：行政许可。</w:t>
      </w:r>
    </w:p>
    <w:p>
      <w:pPr>
        <w:adjustRightInd w:val="0"/>
        <w:spacing w:line="360" w:lineRule="auto"/>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二、适用范围</w:t>
      </w:r>
    </w:p>
    <w:p>
      <w:pPr>
        <w:adjustRightInd w:val="0"/>
        <w:spacing w:line="360" w:lineRule="auto"/>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本指南适用于“</w:t>
      </w:r>
      <w:r>
        <w:rPr>
          <w:rFonts w:hint="eastAsia" w:ascii="Times New Roman" w:hAnsi="Times New Roman" w:eastAsia="仿宋_GB2312" w:cs="Times New Roman"/>
          <w:color w:val="auto"/>
          <w:sz w:val="30"/>
          <w:szCs w:val="30"/>
        </w:rPr>
        <w:t>分局办理的保险机构经营结售汇业务以外的外汇业务审批</w:t>
      </w:r>
      <w:r>
        <w:rPr>
          <w:rFonts w:ascii="Times New Roman" w:hAnsi="Times New Roman" w:eastAsia="仿宋_GB2312" w:cs="Times New Roman"/>
          <w:color w:val="auto"/>
          <w:sz w:val="30"/>
          <w:szCs w:val="30"/>
        </w:rPr>
        <w:t>”的申请和办理。</w:t>
      </w:r>
    </w:p>
    <w:p>
      <w:pPr>
        <w:adjustRightInd w:val="0"/>
        <w:spacing w:line="360" w:lineRule="auto"/>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三、设定依据</w:t>
      </w:r>
    </w:p>
    <w:p>
      <w:pPr>
        <w:adjustRightInd w:val="0"/>
        <w:spacing w:line="360" w:lineRule="auto"/>
        <w:ind w:firstLine="585"/>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《中华人民共和国外汇管理条例》第二十四条</w:t>
      </w:r>
      <w:r>
        <w:rPr>
          <w:rFonts w:hint="eastAsia" w:ascii="Times New Roman" w:hAnsi="Times New Roman" w:eastAsia="仿宋_GB2312" w:cs="Times New Roman"/>
          <w:color w:val="auto"/>
          <w:sz w:val="30"/>
          <w:szCs w:val="30"/>
          <w:lang w:eastAsia="zh-CN"/>
        </w:rPr>
        <w:t>。</w:t>
      </w:r>
    </w:p>
    <w:p>
      <w:pPr>
        <w:adjustRightInd w:val="0"/>
        <w:spacing w:line="360" w:lineRule="auto"/>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四、办理依据</w:t>
      </w:r>
    </w:p>
    <w:p>
      <w:pPr>
        <w:adjustRightIn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（一）</w:t>
      </w:r>
      <w:r>
        <w:rPr>
          <w:rFonts w:hint="eastAsia" w:ascii="Times New Roman" w:hAnsi="Times New Roman" w:eastAsia="仿宋_GB2312" w:cs="Times New Roman"/>
          <w:color w:val="auto"/>
          <w:sz w:val="30"/>
          <w:szCs w:val="30"/>
        </w:rPr>
        <w:t>《经常项目外汇业务指引（2020年版）》（汇发〔2020〕14号文印发）第九十六条</w:t>
      </w:r>
      <w:r>
        <w:rPr>
          <w:rFonts w:hint="eastAsia" w:ascii="Times New Roman" w:hAnsi="Times New Roman" w:eastAsia="仿宋_GB2312" w:cs="Times New Roman"/>
          <w:color w:val="auto"/>
          <w:sz w:val="30"/>
          <w:szCs w:val="30"/>
          <w:lang w:eastAsia="zh-CN"/>
        </w:rPr>
        <w:t>；</w:t>
      </w:r>
    </w:p>
    <w:p>
      <w:pPr>
        <w:adjustRightInd w:val="0"/>
        <w:spacing w:line="360" w:lineRule="auto"/>
        <w:ind w:firstLine="600" w:firstLineChars="200"/>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（二）</w:t>
      </w:r>
      <w:r>
        <w:rPr>
          <w:rFonts w:hint="eastAsia" w:ascii="Times New Roman" w:hAnsi="Times New Roman" w:eastAsia="仿宋_GB2312" w:cs="Times New Roman"/>
          <w:color w:val="auto"/>
          <w:sz w:val="30"/>
          <w:szCs w:val="30"/>
        </w:rPr>
        <w:t>《国家外汇管理局行政许可实施办法》（国家外汇管理局公告2021年第1号）全文</w:t>
      </w:r>
      <w:r>
        <w:rPr>
          <w:rFonts w:hint="eastAsia" w:ascii="Times New Roman" w:hAnsi="Times New Roman" w:eastAsia="仿宋_GB2312" w:cs="Times New Roman"/>
          <w:color w:val="auto"/>
          <w:sz w:val="30"/>
          <w:szCs w:val="30"/>
          <w:lang w:eastAsia="zh-CN"/>
        </w:rPr>
        <w:t>。</w:t>
      </w:r>
    </w:p>
    <w:p>
      <w:pPr>
        <w:adjustRightIn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五、</w:t>
      </w:r>
      <w:r>
        <w:rPr>
          <w:rFonts w:ascii="Times New Roman" w:hAnsi="Times New Roman" w:eastAsia="黑体" w:cs="Times New Roman"/>
          <w:color w:val="auto"/>
          <w:sz w:val="30"/>
          <w:szCs w:val="30"/>
        </w:rPr>
        <w:t>受理机构</w:t>
      </w:r>
    </w:p>
    <w:p>
      <w:pPr>
        <w:adjustRightInd w:val="0"/>
        <w:spacing w:line="360" w:lineRule="auto"/>
        <w:ind w:firstLine="600" w:firstLineChars="200"/>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申请人注册所在地国家外汇管理局分局。</w:t>
      </w:r>
    </w:p>
    <w:p>
      <w:pPr>
        <w:adjustRightIn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六、</w:t>
      </w:r>
      <w:r>
        <w:rPr>
          <w:rFonts w:ascii="Times New Roman" w:hAnsi="Times New Roman" w:eastAsia="黑体" w:cs="Times New Roman"/>
          <w:color w:val="auto"/>
          <w:sz w:val="30"/>
          <w:szCs w:val="30"/>
        </w:rPr>
        <w:t>决定机构</w:t>
      </w:r>
    </w:p>
    <w:p>
      <w:pPr>
        <w:adjustRightIn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申请人注册所在地国家外汇管理局分局。</w:t>
      </w:r>
    </w:p>
    <w:p>
      <w:pPr>
        <w:adjustRightIn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七、</w:t>
      </w:r>
      <w:r>
        <w:rPr>
          <w:rFonts w:ascii="Times New Roman" w:hAnsi="Times New Roman" w:eastAsia="黑体" w:cs="Times New Roman"/>
          <w:color w:val="auto"/>
          <w:sz w:val="30"/>
          <w:szCs w:val="30"/>
        </w:rPr>
        <w:t>审批数量</w:t>
      </w:r>
    </w:p>
    <w:p>
      <w:pPr>
        <w:adjustRightInd w:val="0"/>
        <w:spacing w:line="360" w:lineRule="auto"/>
        <w:ind w:firstLine="600" w:firstLineChars="2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无数量限制。</w:t>
      </w:r>
    </w:p>
    <w:p>
      <w:pPr>
        <w:numPr>
          <w:ilvl w:val="0"/>
          <w:numId w:val="1"/>
        </w:numPr>
        <w:adjustRightInd w:val="0"/>
        <w:spacing w:line="360" w:lineRule="auto"/>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办事条件</w:t>
      </w:r>
    </w:p>
    <w:p>
      <w:pPr>
        <w:pStyle w:val="2"/>
        <w:widowControl w:val="0"/>
        <w:numPr>
          <w:ilvl w:val="0"/>
          <w:numId w:val="0"/>
        </w:numPr>
        <w:wordWrap/>
        <w:adjustRightInd/>
        <w:snapToGrid/>
        <w:spacing w:line="360" w:lineRule="auto"/>
        <w:ind w:left="0" w:leftChars="0" w:right="0" w:firstLine="600" w:firstLineChars="200"/>
        <w:jc w:val="both"/>
        <w:textAlignment w:val="auto"/>
        <w:outlineLvl w:val="9"/>
        <w:rPr>
          <w:rFonts w:hint="eastAsia" w:ascii="楷体_GB2312" w:hAnsi="楷体_GB2312" w:eastAsia="楷体_GB2312" w:cs="楷体_GB2312"/>
          <w:b w:val="0"/>
          <w:bCs w:val="0"/>
          <w:strike w:val="0"/>
          <w:dstrike w:val="0"/>
          <w:color w:val="auto"/>
          <w:sz w:val="30"/>
          <w:szCs w:val="30"/>
          <w:highlight w:val="none"/>
          <w:lang w:eastAsia="zh-CN"/>
        </w:rPr>
      </w:pPr>
      <w:r>
        <w:rPr>
          <w:rFonts w:hint="eastAsia" w:ascii="楷体_GB2312" w:hAnsi="楷体_GB2312" w:eastAsia="楷体_GB2312" w:cs="楷体_GB2312"/>
          <w:b w:val="0"/>
          <w:bCs w:val="0"/>
          <w:strike w:val="0"/>
          <w:dstrike w:val="0"/>
          <w:color w:val="auto"/>
          <w:sz w:val="30"/>
          <w:szCs w:val="30"/>
          <w:highlight w:val="none"/>
          <w:lang w:eastAsia="zh-CN"/>
        </w:rPr>
        <w:t>（一）准予行政许可的条件</w:t>
      </w:r>
    </w:p>
    <w:p>
      <w:pPr>
        <w:widowControl w:val="0"/>
        <w:wordWrap/>
        <w:adjustRightInd/>
        <w:snapToGrid/>
        <w:spacing w:line="360" w:lineRule="auto"/>
        <w:ind w:left="0" w:leftChars="0" w:right="0" w:firstLine="602" w:firstLineChars="200"/>
        <w:jc w:val="both"/>
        <w:textAlignment w:val="auto"/>
        <w:outlineLvl w:val="9"/>
        <w:rPr>
          <w:rFonts w:hint="eastAsia" w:ascii="仿宋_GB2312" w:hAnsi="仿宋_GB2312" w:eastAsia="仿宋_GB2312" w:cs="仿宋_GB2312"/>
          <w:b/>
          <w:bCs/>
          <w:strike w:val="0"/>
          <w:dstrike w:val="0"/>
          <w:color w:val="auto"/>
          <w:sz w:val="30"/>
          <w:szCs w:val="30"/>
          <w:highlight w:val="none"/>
          <w:lang w:val="en-US" w:eastAsia="zh-CN"/>
        </w:rPr>
      </w:pPr>
      <w:r>
        <w:rPr>
          <w:rFonts w:hint="eastAsia" w:ascii="仿宋_GB2312" w:hAnsi="仿宋_GB2312" w:eastAsia="仿宋_GB2312" w:cs="仿宋_GB2312"/>
          <w:b/>
          <w:bCs/>
          <w:strike w:val="0"/>
          <w:dstrike w:val="0"/>
          <w:color w:val="auto"/>
          <w:sz w:val="30"/>
          <w:szCs w:val="30"/>
          <w:highlight w:val="none"/>
          <w:lang w:val="en-US" w:eastAsia="zh-CN"/>
        </w:rPr>
        <w:t>1.分局办理的保险机构经营结售汇业务以外的外汇业务审批新办</w:t>
      </w:r>
    </w:p>
    <w:p>
      <w:pPr>
        <w:widowControl w:val="0"/>
        <w:wordWrap/>
        <w:adjustRightInd/>
        <w:snapToGrid/>
        <w:spacing w:line="360" w:lineRule="auto"/>
        <w:ind w:left="0" w:leftChars="0" w:right="0" w:firstLine="600" w:firstLineChars="200"/>
        <w:jc w:val="both"/>
        <w:textAlignment w:val="auto"/>
        <w:outlineLvl w:val="9"/>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申请人为保险公司，即保险行业主管部门核准设立，并依法登记注册的商业保险公司以及政策性保险公司，以及从事外汇保险业务的保险集团（控股）公司。</w:t>
      </w:r>
    </w:p>
    <w:p>
      <w:pPr>
        <w:widowControl w:val="0"/>
        <w:wordWrap/>
        <w:adjustRightInd/>
        <w:snapToGrid/>
        <w:spacing w:line="360" w:lineRule="auto"/>
        <w:ind w:left="0" w:leftChars="0" w:right="0" w:firstLine="600" w:firstLineChars="200"/>
        <w:jc w:val="both"/>
        <w:textAlignment w:val="auto"/>
        <w:outlineLvl w:val="9"/>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经核准在境内依法登记注册</w:t>
      </w:r>
      <w:r>
        <w:rPr>
          <w:rFonts w:hint="eastAsia" w:ascii="仿宋_GB2312" w:hAnsi="仿宋_GB2312" w:eastAsia="仿宋_GB2312" w:cs="仿宋_GB2312"/>
          <w:color w:val="auto"/>
          <w:sz w:val="30"/>
          <w:szCs w:val="30"/>
          <w:highlight w:val="none"/>
          <w:lang w:eastAsia="zh-CN"/>
        </w:rPr>
        <w:t>。</w:t>
      </w:r>
    </w:p>
    <w:p>
      <w:pPr>
        <w:widowControl w:val="0"/>
        <w:wordWrap/>
        <w:adjustRightInd/>
        <w:snapToGrid/>
        <w:spacing w:line="360" w:lineRule="auto"/>
        <w:ind w:left="0" w:leftChars="0" w:right="0" w:firstLine="600" w:firstLineChars="200"/>
        <w:jc w:val="both"/>
        <w:textAlignment w:val="auto"/>
        <w:outlineLvl w:val="9"/>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具有经营保险业务资格</w:t>
      </w:r>
      <w:r>
        <w:rPr>
          <w:rFonts w:hint="eastAsia" w:ascii="仿宋_GB2312" w:hAnsi="仿宋_GB2312" w:eastAsia="仿宋_GB2312" w:cs="仿宋_GB2312"/>
          <w:color w:val="auto"/>
          <w:sz w:val="30"/>
          <w:szCs w:val="30"/>
          <w:highlight w:val="none"/>
          <w:lang w:eastAsia="zh-CN"/>
        </w:rPr>
        <w:t>。</w:t>
      </w:r>
    </w:p>
    <w:p>
      <w:pPr>
        <w:widowControl w:val="0"/>
        <w:wordWrap/>
        <w:adjustRightInd/>
        <w:snapToGrid/>
        <w:spacing w:line="360" w:lineRule="auto"/>
        <w:ind w:left="0" w:leftChars="0" w:right="0" w:firstLine="600" w:firstLineChars="200"/>
        <w:jc w:val="both"/>
        <w:textAlignment w:val="auto"/>
        <w:outlineLvl w:val="9"/>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具有完备的与外汇保险业务相应的内部管理制度</w:t>
      </w:r>
      <w:r>
        <w:rPr>
          <w:rFonts w:hint="eastAsia" w:ascii="仿宋_GB2312" w:hAnsi="仿宋_GB2312" w:eastAsia="仿宋_GB2312" w:cs="仿宋_GB2312"/>
          <w:color w:val="auto"/>
          <w:sz w:val="30"/>
          <w:szCs w:val="30"/>
          <w:highlight w:val="none"/>
          <w:lang w:eastAsia="zh-CN"/>
        </w:rPr>
        <w:t>。</w:t>
      </w:r>
    </w:p>
    <w:p>
      <w:pPr>
        <w:widowControl w:val="0"/>
        <w:wordWrap/>
        <w:adjustRightInd/>
        <w:snapToGrid/>
        <w:spacing w:line="360" w:lineRule="auto"/>
        <w:ind w:left="0" w:leftChars="0" w:right="0" w:firstLine="600" w:firstLineChars="200"/>
        <w:jc w:val="both"/>
        <w:textAlignment w:val="auto"/>
        <w:outlineLvl w:val="9"/>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近三年未发生情节严重的违法违规行为、未受到保险行业主管部门或国家外汇管理局等部门行政处罚。</w:t>
      </w:r>
    </w:p>
    <w:p>
      <w:pPr>
        <w:widowControl w:val="0"/>
        <w:wordWrap/>
        <w:adjustRightInd/>
        <w:snapToGrid/>
        <w:spacing w:line="360" w:lineRule="auto"/>
        <w:ind w:left="0" w:leftChars="0" w:right="0" w:firstLine="602" w:firstLineChars="200"/>
        <w:jc w:val="both"/>
        <w:textAlignment w:val="auto"/>
        <w:outlineLvl w:val="9"/>
        <w:rPr>
          <w:rFonts w:hint="eastAsia" w:ascii="仿宋_GB2312" w:hAnsi="仿宋_GB2312" w:eastAsia="仿宋_GB2312" w:cs="仿宋_GB2312"/>
          <w:b/>
          <w:bCs/>
          <w:strike w:val="0"/>
          <w:dstrike w:val="0"/>
          <w:color w:val="auto"/>
          <w:sz w:val="30"/>
          <w:szCs w:val="30"/>
          <w:highlight w:val="none"/>
          <w:lang w:val="en-US" w:eastAsia="zh-CN"/>
        </w:rPr>
      </w:pPr>
      <w:r>
        <w:rPr>
          <w:rFonts w:hint="eastAsia" w:ascii="仿宋_GB2312" w:hAnsi="仿宋_GB2312" w:eastAsia="仿宋_GB2312" w:cs="仿宋_GB2312"/>
          <w:b/>
          <w:bCs/>
          <w:strike w:val="0"/>
          <w:dstrike w:val="0"/>
          <w:color w:val="auto"/>
          <w:sz w:val="30"/>
          <w:szCs w:val="30"/>
          <w:highlight w:val="none"/>
          <w:lang w:val="en-US" w:eastAsia="zh-CN"/>
        </w:rPr>
        <w:t>2.分局办理的保险机构经营结售汇业务以外的外汇业务审批变更</w:t>
      </w:r>
    </w:p>
    <w:p>
      <w:pPr>
        <w:widowControl w:val="0"/>
        <w:wordWrap/>
        <w:adjustRightInd/>
        <w:snapToGrid/>
        <w:spacing w:line="360" w:lineRule="auto"/>
        <w:ind w:left="0" w:leftChars="0" w:right="0" w:firstLine="600" w:firstLineChars="200"/>
        <w:jc w:val="both"/>
        <w:textAlignment w:val="auto"/>
        <w:outlineLvl w:val="9"/>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申请人为保险公司，即保险行业主管部门核准设立，并依法登记注册的商业保险公司以及政策性保险公司，以及从事外汇保险业务的保险集团（控股）公司：</w:t>
      </w:r>
    </w:p>
    <w:p>
      <w:pPr>
        <w:widowControl w:val="0"/>
        <w:wordWrap/>
        <w:adjustRightInd/>
        <w:snapToGrid/>
        <w:spacing w:line="360" w:lineRule="auto"/>
        <w:ind w:left="0" w:leftChars="0" w:right="0" w:firstLine="600" w:firstLineChars="200"/>
        <w:jc w:val="both"/>
        <w:textAlignment w:val="auto"/>
        <w:outlineLvl w:val="9"/>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经核准在境内依法登记注册；</w:t>
      </w:r>
    </w:p>
    <w:p>
      <w:pPr>
        <w:widowControl w:val="0"/>
        <w:wordWrap/>
        <w:adjustRightInd/>
        <w:snapToGrid/>
        <w:spacing w:line="360" w:lineRule="auto"/>
        <w:ind w:left="0" w:leftChars="0" w:right="0" w:firstLine="600" w:firstLineChars="200"/>
        <w:jc w:val="both"/>
        <w:textAlignment w:val="auto"/>
        <w:outlineLvl w:val="9"/>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具有经营保险业务资格；</w:t>
      </w:r>
    </w:p>
    <w:p>
      <w:pPr>
        <w:widowControl w:val="0"/>
        <w:wordWrap/>
        <w:adjustRightInd/>
        <w:snapToGrid/>
        <w:spacing w:line="360" w:lineRule="auto"/>
        <w:ind w:left="0" w:leftChars="0" w:right="0" w:firstLine="600" w:firstLineChars="200"/>
        <w:jc w:val="both"/>
        <w:textAlignment w:val="auto"/>
        <w:outlineLvl w:val="9"/>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具有完备的与外汇保险业务相应的内部管理制度；</w:t>
      </w:r>
    </w:p>
    <w:p>
      <w:pPr>
        <w:widowControl w:val="0"/>
        <w:wordWrap/>
        <w:adjustRightInd/>
        <w:snapToGrid/>
        <w:spacing w:line="360" w:lineRule="auto"/>
        <w:ind w:left="0" w:leftChars="0" w:right="0" w:firstLine="600" w:firstLineChars="200"/>
        <w:jc w:val="both"/>
        <w:textAlignment w:val="auto"/>
        <w:outlineLvl w:val="9"/>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近三年未发生情节严重的违法违规行为、未受到保险行业主管部门或国家外汇管理局等部门行政处罚。</w:t>
      </w:r>
    </w:p>
    <w:p>
      <w:pPr>
        <w:widowControl w:val="0"/>
        <w:numPr>
          <w:ilvl w:val="0"/>
          <w:numId w:val="0"/>
        </w:numPr>
        <w:wordWrap/>
        <w:adjustRightInd/>
        <w:snapToGrid/>
        <w:spacing w:line="360" w:lineRule="auto"/>
        <w:ind w:left="0" w:leftChars="0" w:right="0" w:firstLine="600" w:firstLineChars="200"/>
        <w:jc w:val="both"/>
        <w:textAlignment w:val="auto"/>
        <w:outlineLvl w:val="2"/>
        <w:rPr>
          <w:rFonts w:hint="eastAsia" w:ascii="楷体_GB2312" w:hAnsi="楷体_GB2312" w:eastAsia="楷体_GB2312" w:cs="楷体_GB2312"/>
          <w:b w:val="0"/>
          <w:bCs w:val="0"/>
          <w:strike w:val="0"/>
          <w:dstrike w:val="0"/>
          <w:color w:val="auto"/>
          <w:sz w:val="30"/>
          <w:szCs w:val="30"/>
          <w:highlight w:val="none"/>
          <w:lang w:val="en-US" w:eastAsia="zh-CN"/>
        </w:rPr>
      </w:pPr>
      <w:bookmarkStart w:id="0" w:name="_Toc1163866196"/>
      <w:r>
        <w:rPr>
          <w:rFonts w:hint="eastAsia" w:ascii="楷体_GB2312" w:hAnsi="楷体_GB2312" w:eastAsia="楷体_GB2312" w:cs="楷体_GB2312"/>
          <w:b w:val="0"/>
          <w:bCs w:val="0"/>
          <w:strike w:val="0"/>
          <w:dstrike w:val="0"/>
          <w:color w:val="auto"/>
          <w:sz w:val="30"/>
          <w:szCs w:val="30"/>
          <w:highlight w:val="none"/>
          <w:lang w:val="en-US" w:eastAsia="zh-CN"/>
        </w:rPr>
        <w:t>（二）规定行政许可条件的依据</w:t>
      </w:r>
      <w:bookmarkEnd w:id="0"/>
    </w:p>
    <w:p>
      <w:pPr>
        <w:widowControl w:val="0"/>
        <w:wordWrap/>
        <w:adjustRightInd/>
        <w:snapToGrid/>
        <w:spacing w:line="360" w:lineRule="auto"/>
        <w:ind w:left="0" w:leftChars="0" w:right="0" w:firstLine="600" w:firstLineChars="200"/>
        <w:jc w:val="both"/>
        <w:textAlignment w:val="auto"/>
        <w:rPr>
          <w:rFonts w:hint="eastAsia" w:ascii="仿宋_GB2312" w:hAnsi="仿宋_GB2312" w:eastAsia="仿宋_GB2312" w:cs="仿宋_GB2312"/>
          <w:b w:val="0"/>
          <w:bCs w:val="0"/>
          <w:strike w:val="0"/>
          <w:dstrike w:val="0"/>
          <w:color w:val="auto"/>
          <w:sz w:val="30"/>
          <w:szCs w:val="30"/>
          <w:highlight w:val="none"/>
          <w:lang w:val="en-US" w:eastAsia="zh-CN"/>
        </w:rPr>
      </w:pPr>
      <w:r>
        <w:rPr>
          <w:rFonts w:hint="eastAsia" w:ascii="仿宋_GB2312" w:hAnsi="仿宋_GB2312" w:eastAsia="仿宋_GB2312" w:cs="仿宋_GB2312"/>
          <w:b w:val="0"/>
          <w:bCs w:val="0"/>
          <w:strike w:val="0"/>
          <w:dstrike w:val="0"/>
          <w:color w:val="auto"/>
          <w:sz w:val="30"/>
          <w:szCs w:val="30"/>
          <w:highlight w:val="none"/>
          <w:lang w:val="en-US" w:eastAsia="zh-CN"/>
        </w:rPr>
        <w:t>《经常项目外汇业务指引（2020年版）》（汇发〔2020〕14号文印发）第九十五条保险公司及其分支机构经营外汇保险业务，应符合下列条件：（一）经核准在境内依法登记注册；（二）具有经营保险业务资格；（三）具有完备的与外汇保险业务相应的内部管理制度；（四）近三年未发生情节严重的违法违规行为、未受到保险行业主管部门或国家外汇管理局等部门行政处罚。本指引所称保险公司，是指经保险行业主管部门核准设立，并依法登记注册的商业保险公司以及政策性保险公司。保险集团（控股）公司从事外汇保险业务的，视同保险公司管理。</w:t>
      </w:r>
    </w:p>
    <w:p>
      <w:pPr>
        <w:widowControl w:val="0"/>
        <w:numPr>
          <w:ilvl w:val="0"/>
          <w:numId w:val="1"/>
        </w:numPr>
        <w:wordWrap/>
        <w:adjustRightInd w:val="0"/>
        <w:spacing w:line="360" w:lineRule="auto"/>
        <w:ind w:left="0" w:leftChars="0" w:right="0" w:firstLine="600" w:firstLineChars="200"/>
        <w:jc w:val="both"/>
        <w:textAlignment w:val="auto"/>
        <w:outlineLvl w:val="9"/>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申请材料</w:t>
      </w:r>
    </w:p>
    <w:p>
      <w:pPr>
        <w:widowControl w:val="0"/>
        <w:wordWrap/>
        <w:adjustRightInd w:val="0"/>
        <w:snapToGrid w:val="0"/>
        <w:spacing w:line="360" w:lineRule="auto"/>
        <w:ind w:left="0" w:leftChars="0" w:right="0" w:firstLine="600" w:firstLineChars="200"/>
        <w:jc w:val="both"/>
        <w:textAlignment w:val="auto"/>
        <w:outlineLvl w:val="9"/>
      </w:pPr>
      <w:r>
        <w:rPr>
          <w:rFonts w:hint="eastAsia" w:ascii="楷体_GB2312" w:hAnsi="楷体_GB2312" w:eastAsia="楷体_GB2312" w:cs="楷体_GB2312"/>
          <w:color w:val="auto"/>
          <w:sz w:val="30"/>
          <w:szCs w:val="30"/>
          <w:lang w:eastAsia="zh-CN"/>
        </w:rPr>
        <w:t>（一）申请材料名称</w:t>
      </w:r>
    </w:p>
    <w:p>
      <w:pPr>
        <w:widowControl w:val="0"/>
        <w:wordWrap/>
        <w:spacing w:line="360" w:lineRule="auto"/>
        <w:ind w:left="0" w:leftChars="0" w:right="0" w:firstLine="602" w:firstLineChars="200"/>
        <w:jc w:val="both"/>
        <w:textAlignment w:val="auto"/>
        <w:outlineLvl w:val="9"/>
        <w:rPr>
          <w:rFonts w:ascii="Times New Roman" w:hAnsi="Times New Roman" w:eastAsia="仿宋_GB2312" w:cs="Times New Roman"/>
          <w:b/>
          <w:bCs/>
          <w:color w:val="auto"/>
          <w:sz w:val="30"/>
          <w:szCs w:val="30"/>
        </w:rPr>
      </w:pPr>
      <w:r>
        <w:rPr>
          <w:rFonts w:ascii="Times New Roman" w:hAnsi="Times New Roman" w:eastAsia="仿宋_GB2312" w:cs="Times New Roman"/>
          <w:b/>
          <w:bCs/>
          <w:color w:val="auto"/>
          <w:sz w:val="30"/>
          <w:szCs w:val="30"/>
        </w:rPr>
        <w:t>1.</w:t>
      </w:r>
      <w:r>
        <w:rPr>
          <w:rFonts w:hint="eastAsia" w:ascii="Times New Roman" w:hAnsi="Times New Roman" w:eastAsia="仿宋_GB2312" w:cs="Times New Roman"/>
          <w:b/>
          <w:bCs/>
          <w:color w:val="auto"/>
          <w:sz w:val="30"/>
          <w:szCs w:val="30"/>
        </w:rPr>
        <w:t>分局办理的保险机构经营结售汇业务以外的外汇业务审批新办</w:t>
      </w:r>
    </w:p>
    <w:tbl>
      <w:tblPr>
        <w:tblStyle w:val="15"/>
        <w:tblW w:w="8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2304"/>
        <w:gridCol w:w="1410"/>
        <w:gridCol w:w="765"/>
        <w:gridCol w:w="1770"/>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7"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序号</w:t>
            </w:r>
          </w:p>
        </w:tc>
        <w:tc>
          <w:tcPr>
            <w:tcW w:w="2304"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提交材料名称</w:t>
            </w:r>
          </w:p>
        </w:tc>
        <w:tc>
          <w:tcPr>
            <w:tcW w:w="1410"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原件/</w:t>
            </w:r>
          </w:p>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复印件</w:t>
            </w:r>
          </w:p>
        </w:tc>
        <w:tc>
          <w:tcPr>
            <w:tcW w:w="765"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份数</w:t>
            </w:r>
          </w:p>
        </w:tc>
        <w:tc>
          <w:tcPr>
            <w:tcW w:w="1770"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要求</w:t>
            </w:r>
          </w:p>
        </w:tc>
        <w:tc>
          <w:tcPr>
            <w:tcW w:w="1365"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7"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2304"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书面申请</w:t>
            </w:r>
          </w:p>
        </w:tc>
        <w:tc>
          <w:tcPr>
            <w:tcW w:w="1410"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原件</w:t>
            </w:r>
          </w:p>
        </w:tc>
        <w:tc>
          <w:tcPr>
            <w:tcW w:w="765"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1770" w:type="dxa"/>
            <w:vAlign w:val="top"/>
          </w:tcPr>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列明申请事项及申请业务范围</w:t>
            </w:r>
          </w:p>
        </w:tc>
        <w:tc>
          <w:tcPr>
            <w:tcW w:w="1365" w:type="dxa"/>
            <w:vAlign w:val="top"/>
          </w:tcPr>
          <w:p>
            <w:pP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加盖企业公章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7"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2</w:t>
            </w:r>
          </w:p>
        </w:tc>
        <w:tc>
          <w:tcPr>
            <w:tcW w:w="2304" w:type="dxa"/>
            <w:vAlign w:val="center"/>
          </w:tcPr>
          <w:p>
            <w:pPr>
              <w:jc w:val="lef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保险行业主管部门颁发的经营保险业务资格证明</w:t>
            </w:r>
          </w:p>
        </w:tc>
        <w:tc>
          <w:tcPr>
            <w:tcW w:w="1410" w:type="dxa"/>
            <w:vAlign w:val="center"/>
          </w:tcPr>
          <w:p>
            <w:pPr>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原件及</w:t>
            </w:r>
            <w:r>
              <w:rPr>
                <w:rFonts w:ascii="Times New Roman" w:hAnsi="Times New Roman" w:eastAsia="仿宋_GB2312" w:cs="Times New Roman"/>
                <w:color w:val="auto"/>
                <w:sz w:val="24"/>
                <w:szCs w:val="24"/>
              </w:rPr>
              <w:t>复印件</w:t>
            </w:r>
          </w:p>
        </w:tc>
        <w:tc>
          <w:tcPr>
            <w:tcW w:w="765"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1770" w:type="dxa"/>
            <w:vAlign w:val="top"/>
          </w:tcPr>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验原件，留存复印件</w:t>
            </w:r>
          </w:p>
        </w:tc>
        <w:tc>
          <w:tcPr>
            <w:tcW w:w="1365" w:type="dxa"/>
            <w:vAlign w:val="top"/>
          </w:tcPr>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复印件需加盖企业公章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7"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3</w:t>
            </w:r>
          </w:p>
        </w:tc>
        <w:tc>
          <w:tcPr>
            <w:tcW w:w="2304" w:type="dxa"/>
            <w:vAlign w:val="center"/>
          </w:tcPr>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营业执照（统一社会信用代码证）</w:t>
            </w:r>
          </w:p>
        </w:tc>
        <w:tc>
          <w:tcPr>
            <w:tcW w:w="1410" w:type="dxa"/>
            <w:vAlign w:val="center"/>
          </w:tcPr>
          <w:p>
            <w:pPr>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原件及</w:t>
            </w:r>
            <w:r>
              <w:rPr>
                <w:rFonts w:ascii="Times New Roman" w:hAnsi="Times New Roman" w:eastAsia="仿宋_GB2312" w:cs="Times New Roman"/>
                <w:color w:val="auto"/>
                <w:sz w:val="24"/>
                <w:szCs w:val="24"/>
              </w:rPr>
              <w:t>复印件</w:t>
            </w:r>
          </w:p>
        </w:tc>
        <w:tc>
          <w:tcPr>
            <w:tcW w:w="765"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1770" w:type="dxa"/>
            <w:vAlign w:val="top"/>
          </w:tcPr>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验原件，留存复印件</w:t>
            </w:r>
          </w:p>
        </w:tc>
        <w:tc>
          <w:tcPr>
            <w:tcW w:w="1365" w:type="dxa"/>
            <w:vAlign w:val="top"/>
          </w:tcPr>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复印件需加盖企业公章</w:t>
            </w:r>
            <w:r>
              <w:rPr>
                <w:rFonts w:hint="eastAsia" w:ascii="Times New Roman" w:hAnsi="Times New Roman" w:eastAsia="仿宋_GB2312" w:cs="Times New Roman"/>
                <w:color w:val="auto"/>
                <w:sz w:val="24"/>
                <w:szCs w:val="24"/>
                <w:lang w:eastAsia="zh-CN"/>
              </w:rPr>
              <w:t>，</w:t>
            </w:r>
            <w:r>
              <w:rPr>
                <w:rFonts w:hint="eastAsia" w:ascii="Times New Roman" w:hAnsi="Times New Roman" w:eastAsia="仿宋_GB2312" w:cs="Times New Roman"/>
                <w:color w:val="auto"/>
                <w:sz w:val="24"/>
                <w:szCs w:val="24"/>
              </w:rPr>
              <w:t>自由贸易试验区内保险公司免于提供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7"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4</w:t>
            </w:r>
          </w:p>
        </w:tc>
        <w:tc>
          <w:tcPr>
            <w:tcW w:w="2304" w:type="dxa"/>
            <w:vAlign w:val="center"/>
          </w:tcPr>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与申请外汇保险业务相应的内部管理制度</w:t>
            </w:r>
          </w:p>
        </w:tc>
        <w:tc>
          <w:tcPr>
            <w:tcW w:w="1410"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复印件</w:t>
            </w:r>
          </w:p>
        </w:tc>
        <w:tc>
          <w:tcPr>
            <w:tcW w:w="765"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1770" w:type="dxa"/>
            <w:vAlign w:val="top"/>
          </w:tcPr>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包括但不限于业务操作流程、资金管理和数据报送等内容</w:t>
            </w:r>
          </w:p>
        </w:tc>
        <w:tc>
          <w:tcPr>
            <w:tcW w:w="1365" w:type="dxa"/>
            <w:vAlign w:val="top"/>
          </w:tcPr>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加盖企业公章</w:t>
            </w:r>
          </w:p>
        </w:tc>
      </w:tr>
    </w:tbl>
    <w:p>
      <w:pPr>
        <w:ind w:firstLine="602" w:firstLineChars="200"/>
        <w:rPr>
          <w:rFonts w:ascii="Times New Roman" w:hAnsi="Times New Roman" w:eastAsia="仿宋_GB2312" w:cs="Times New Roman"/>
          <w:b/>
          <w:bCs/>
          <w:color w:val="auto"/>
          <w:sz w:val="30"/>
          <w:szCs w:val="30"/>
        </w:rPr>
      </w:pPr>
      <w:r>
        <w:rPr>
          <w:rFonts w:ascii="Times New Roman" w:hAnsi="Times New Roman" w:eastAsia="仿宋_GB2312" w:cs="Times New Roman"/>
          <w:b/>
          <w:bCs/>
          <w:color w:val="auto"/>
          <w:sz w:val="30"/>
          <w:szCs w:val="30"/>
        </w:rPr>
        <w:t>2.</w:t>
      </w:r>
      <w:r>
        <w:rPr>
          <w:rFonts w:hint="eastAsia" w:ascii="Times New Roman" w:hAnsi="Times New Roman" w:eastAsia="仿宋_GB2312" w:cs="Times New Roman"/>
          <w:b/>
          <w:bCs/>
          <w:color w:val="auto"/>
          <w:sz w:val="30"/>
          <w:szCs w:val="30"/>
        </w:rPr>
        <w:t>分局办理的保险机构经营结售汇业务以外的外汇业务审批变更</w:t>
      </w:r>
    </w:p>
    <w:tbl>
      <w:tblPr>
        <w:tblStyle w:val="15"/>
        <w:tblW w:w="83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2919"/>
        <w:gridCol w:w="943"/>
        <w:gridCol w:w="457"/>
        <w:gridCol w:w="2575"/>
        <w:gridCol w:w="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7"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序号</w:t>
            </w:r>
          </w:p>
        </w:tc>
        <w:tc>
          <w:tcPr>
            <w:tcW w:w="2919"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提交材料名称</w:t>
            </w:r>
          </w:p>
        </w:tc>
        <w:tc>
          <w:tcPr>
            <w:tcW w:w="943"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原件/</w:t>
            </w:r>
          </w:p>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复印件</w:t>
            </w:r>
          </w:p>
        </w:tc>
        <w:tc>
          <w:tcPr>
            <w:tcW w:w="457"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份数</w:t>
            </w:r>
          </w:p>
        </w:tc>
        <w:tc>
          <w:tcPr>
            <w:tcW w:w="2575"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要求</w:t>
            </w:r>
          </w:p>
        </w:tc>
        <w:tc>
          <w:tcPr>
            <w:tcW w:w="960" w:type="dxa"/>
            <w:vAlign w:val="top"/>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7"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2919"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书面申请</w:t>
            </w:r>
          </w:p>
        </w:tc>
        <w:tc>
          <w:tcPr>
            <w:tcW w:w="943"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原件</w:t>
            </w:r>
          </w:p>
        </w:tc>
        <w:tc>
          <w:tcPr>
            <w:tcW w:w="457"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2575" w:type="dxa"/>
            <w:vAlign w:val="center"/>
          </w:tcPr>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列明变更事项及变更经营结售汇业务以外的外汇业务范围或机构名称</w:t>
            </w:r>
          </w:p>
        </w:tc>
        <w:tc>
          <w:tcPr>
            <w:tcW w:w="960" w:type="dxa"/>
            <w:vAlign w:val="top"/>
          </w:tcPr>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加盖企业公章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7"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2</w:t>
            </w:r>
          </w:p>
        </w:tc>
        <w:tc>
          <w:tcPr>
            <w:tcW w:w="2919" w:type="dxa"/>
            <w:vAlign w:val="center"/>
          </w:tcPr>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变更经营结售汇业务以外的外汇业务范围的，提交与变更后经营结售汇业务以外的外汇业务范围相应的的内部管理制度</w:t>
            </w:r>
          </w:p>
        </w:tc>
        <w:tc>
          <w:tcPr>
            <w:tcW w:w="943"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复印件</w:t>
            </w:r>
          </w:p>
        </w:tc>
        <w:tc>
          <w:tcPr>
            <w:tcW w:w="457"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2575" w:type="dxa"/>
            <w:vAlign w:val="center"/>
          </w:tcPr>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包括但不限于业务操作流程、资金管理和数据报送等内容</w:t>
            </w:r>
          </w:p>
        </w:tc>
        <w:tc>
          <w:tcPr>
            <w:tcW w:w="960" w:type="dxa"/>
            <w:vAlign w:val="top"/>
          </w:tcPr>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加盖企业公章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457"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3</w:t>
            </w:r>
          </w:p>
        </w:tc>
        <w:tc>
          <w:tcPr>
            <w:tcW w:w="2919" w:type="dxa"/>
            <w:vAlign w:val="center"/>
          </w:tcPr>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变更机构名称的，提交保险行业主管部门核准其名称变更的文件、保险行业主管部门颁发的变更后经营结售汇业务以外的外汇业务资格证明、变更后的营业执照（统一社会信用代码证）</w:t>
            </w:r>
          </w:p>
        </w:tc>
        <w:tc>
          <w:tcPr>
            <w:tcW w:w="943" w:type="dxa"/>
            <w:vAlign w:val="center"/>
          </w:tcPr>
          <w:p>
            <w:pPr>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原件及复印件</w:t>
            </w:r>
          </w:p>
        </w:tc>
        <w:tc>
          <w:tcPr>
            <w:tcW w:w="457"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2575" w:type="dxa"/>
            <w:vAlign w:val="center"/>
          </w:tcPr>
          <w:p>
            <w:pP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rPr>
              <w:t>自营业执照（统一社会信用代码证）变更之日起20个工作日内</w:t>
            </w:r>
            <w:r>
              <w:rPr>
                <w:rFonts w:hint="eastAsia" w:ascii="Times New Roman" w:hAnsi="Times New Roman" w:eastAsia="仿宋_GB2312" w:cs="Times New Roman"/>
                <w:color w:val="auto"/>
                <w:sz w:val="24"/>
                <w:szCs w:val="24"/>
                <w:lang w:eastAsia="zh-CN"/>
              </w:rPr>
              <w:t>提交申请。</w:t>
            </w:r>
          </w:p>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验原件，留存复印件</w:t>
            </w:r>
            <w:r>
              <w:rPr>
                <w:rFonts w:hint="eastAsia" w:ascii="Times New Roman" w:hAnsi="Times New Roman" w:eastAsia="仿宋_GB2312" w:cs="Times New Roman"/>
                <w:color w:val="auto"/>
                <w:sz w:val="24"/>
                <w:szCs w:val="24"/>
                <w:lang w:eastAsia="zh-CN"/>
              </w:rPr>
              <w:t>。</w:t>
            </w:r>
          </w:p>
        </w:tc>
        <w:tc>
          <w:tcPr>
            <w:tcW w:w="960" w:type="dxa"/>
            <w:vAlign w:val="top"/>
          </w:tcPr>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复印件需加盖企业公章</w:t>
            </w:r>
          </w:p>
        </w:tc>
      </w:tr>
    </w:tbl>
    <w:p>
      <w:pPr>
        <w:widowControl w:val="0"/>
        <w:numPr>
          <w:ilvl w:val="0"/>
          <w:numId w:val="0"/>
        </w:numPr>
        <w:wordWrap/>
        <w:adjustRightInd/>
        <w:snapToGrid/>
        <w:spacing w:line="360" w:lineRule="auto"/>
        <w:ind w:left="0" w:leftChars="0" w:right="0" w:firstLine="600" w:firstLineChars="200"/>
        <w:jc w:val="both"/>
        <w:textAlignment w:val="auto"/>
        <w:outlineLvl w:val="2"/>
        <w:rPr>
          <w:rFonts w:hint="eastAsia" w:ascii="楷体_GB2312" w:hAnsi="楷体_GB2312" w:eastAsia="楷体_GB2312" w:cs="楷体_GB2312"/>
          <w:b w:val="0"/>
          <w:bCs w:val="0"/>
          <w:strike w:val="0"/>
          <w:dstrike w:val="0"/>
          <w:color w:val="auto"/>
          <w:sz w:val="30"/>
          <w:szCs w:val="30"/>
          <w:highlight w:val="none"/>
          <w:lang w:val="en-US" w:eastAsia="zh-CN"/>
        </w:rPr>
      </w:pPr>
      <w:bookmarkStart w:id="1" w:name="_Toc2103842309"/>
      <w:r>
        <w:rPr>
          <w:rFonts w:hint="eastAsia" w:ascii="楷体_GB2312" w:hAnsi="楷体_GB2312" w:eastAsia="楷体_GB2312" w:cs="楷体_GB2312"/>
          <w:b w:val="0"/>
          <w:bCs w:val="0"/>
          <w:strike w:val="0"/>
          <w:dstrike w:val="0"/>
          <w:color w:val="auto"/>
          <w:sz w:val="30"/>
          <w:szCs w:val="30"/>
          <w:highlight w:val="none"/>
          <w:lang w:val="en-US" w:eastAsia="zh-CN"/>
        </w:rPr>
        <w:t>（二）规定申请材料的依据</w:t>
      </w:r>
      <w:bookmarkEnd w:id="1"/>
    </w:p>
    <w:p>
      <w:pPr>
        <w:widowControl w:val="0"/>
        <w:wordWrap/>
        <w:adjustRightInd/>
        <w:snapToGrid/>
        <w:spacing w:line="360" w:lineRule="auto"/>
        <w:ind w:left="0" w:leftChars="0" w:right="0" w:firstLine="600" w:firstLineChars="200"/>
        <w:jc w:val="both"/>
        <w:textAlignment w:val="auto"/>
        <w:rPr>
          <w:rFonts w:hint="eastAsia" w:ascii="仿宋_GB2312" w:hAnsi="仿宋_GB2312" w:eastAsia="仿宋_GB2312" w:cs="仿宋_GB2312"/>
          <w:b w:val="0"/>
          <w:bCs w:val="0"/>
          <w:strike w:val="0"/>
          <w:dstrike w:val="0"/>
          <w:color w:val="auto"/>
          <w:sz w:val="30"/>
          <w:szCs w:val="30"/>
          <w:highlight w:val="none"/>
          <w:lang w:val="en-US" w:eastAsia="zh-CN"/>
        </w:rPr>
      </w:pPr>
      <w:r>
        <w:rPr>
          <w:rFonts w:hint="eastAsia" w:ascii="仿宋_GB2312" w:hAnsi="仿宋_GB2312" w:eastAsia="仿宋_GB2312" w:cs="仿宋_GB2312"/>
          <w:b w:val="0"/>
          <w:bCs w:val="0"/>
          <w:strike w:val="0"/>
          <w:dstrike w:val="0"/>
          <w:color w:val="auto"/>
          <w:sz w:val="30"/>
          <w:szCs w:val="30"/>
          <w:highlight w:val="none"/>
          <w:lang w:val="en-US" w:eastAsia="zh-CN"/>
        </w:rPr>
        <w:t>《经常项目外汇业务指引（2020年版）》（汇发〔2020〕14号文印发）第九十八条保险公司经营外汇业务，应持下列材料向……外汇局申请：（一）书面申请；（二）保险行业主管部门颁发的经营保险业务资格证明复印件；（三）</w:t>
      </w:r>
      <w:r>
        <w:rPr>
          <w:rFonts w:hint="eastAsia" w:ascii="仿宋_GB2312" w:hAnsi="仿宋_GB2312" w:eastAsia="仿宋_GB2312" w:cs="仿宋_GB2312"/>
          <w:b w:val="0"/>
          <w:bCs w:val="0"/>
          <w:strike w:val="0"/>
          <w:dstrike w:val="0"/>
          <w:color w:val="auto"/>
          <w:sz w:val="30"/>
          <w:szCs w:val="30"/>
          <w:highlight w:val="none"/>
          <w:lang w:eastAsia="zh-CN"/>
        </w:rPr>
        <w:t>营业执照（统一社会信用代码证）</w:t>
      </w:r>
      <w:r>
        <w:rPr>
          <w:rFonts w:hint="eastAsia" w:ascii="仿宋_GB2312" w:hAnsi="仿宋_GB2312" w:eastAsia="仿宋_GB2312" w:cs="仿宋_GB2312"/>
          <w:b w:val="0"/>
          <w:bCs w:val="0"/>
          <w:strike w:val="0"/>
          <w:dstrike w:val="0"/>
          <w:color w:val="auto"/>
          <w:sz w:val="30"/>
          <w:szCs w:val="30"/>
          <w:highlight w:val="none"/>
          <w:lang w:val="en-US" w:eastAsia="zh-CN"/>
        </w:rPr>
        <w:t>复印件（自由贸易试验区内保险公司免于提供）；（四）与申请外汇保险业务相应的内部管理制度，包括但不限于业务操作流程、资金管理和数据报送等内容。</w:t>
      </w:r>
    </w:p>
    <w:p>
      <w:pPr>
        <w:widowControl w:val="0"/>
        <w:wordWrap/>
        <w:adjustRightInd/>
        <w:snapToGrid/>
        <w:spacing w:line="360" w:lineRule="auto"/>
        <w:ind w:left="0" w:leftChars="0" w:right="0" w:firstLine="600" w:firstLineChars="200"/>
        <w:jc w:val="both"/>
        <w:textAlignment w:val="auto"/>
        <w:rPr>
          <w:rFonts w:hint="eastAsia" w:ascii="仿宋_GB2312" w:hAnsi="仿宋_GB2312" w:eastAsia="仿宋_GB2312" w:cs="仿宋_GB2312"/>
          <w:b w:val="0"/>
          <w:bCs w:val="0"/>
          <w:strike w:val="0"/>
          <w:dstrike w:val="0"/>
          <w:color w:val="auto"/>
          <w:sz w:val="30"/>
          <w:szCs w:val="30"/>
          <w:highlight w:val="none"/>
          <w:lang w:val="en-US" w:eastAsia="zh-CN"/>
        </w:rPr>
      </w:pPr>
      <w:r>
        <w:rPr>
          <w:rFonts w:hint="eastAsia" w:ascii="仿宋_GB2312" w:hAnsi="仿宋_GB2312" w:eastAsia="仿宋_GB2312" w:cs="仿宋_GB2312"/>
          <w:b w:val="0"/>
          <w:bCs w:val="0"/>
          <w:strike w:val="0"/>
          <w:dstrike w:val="0"/>
          <w:color w:val="auto"/>
          <w:sz w:val="30"/>
          <w:szCs w:val="30"/>
          <w:highlight w:val="none"/>
          <w:lang w:val="en-US" w:eastAsia="zh-CN"/>
        </w:rPr>
        <w:t>《经常项目外汇业务指引（2020年版）》（汇发〔2020〕14号文印发）第九十九条</w:t>
      </w:r>
      <w:r>
        <w:rPr>
          <w:rFonts w:hint="eastAsia" w:ascii="仿宋_GB2312" w:hAnsi="仿宋_GB2312" w:eastAsia="仿宋_GB2312" w:cs="仿宋_GB2312"/>
          <w:b w:val="0"/>
          <w:bCs w:val="0"/>
          <w:strike w:val="0"/>
          <w:dstrike w:val="0"/>
          <w:color w:val="auto"/>
          <w:sz w:val="30"/>
          <w:szCs w:val="30"/>
          <w:highlight w:val="none"/>
          <w:lang w:eastAsia="zh-CN"/>
        </w:rPr>
        <w:t xml:space="preserve"> </w:t>
      </w:r>
      <w:r>
        <w:rPr>
          <w:rFonts w:hint="eastAsia" w:ascii="仿宋_GB2312" w:hAnsi="仿宋_GB2312" w:eastAsia="仿宋_GB2312" w:cs="仿宋_GB2312"/>
          <w:b w:val="0"/>
          <w:bCs w:val="0"/>
          <w:strike w:val="0"/>
          <w:dstrike w:val="0"/>
          <w:color w:val="auto"/>
          <w:sz w:val="30"/>
          <w:szCs w:val="30"/>
          <w:highlight w:val="none"/>
          <w:lang w:val="en-US" w:eastAsia="zh-CN"/>
        </w:rPr>
        <w:t>保险公司变更外汇保险业务范围或机构名称，应持下列材料向……外汇分局申请：（一）书面申请；（二）变更外汇保险业务范围的，提交与变更后外汇保险业务范围相应的内部管理制度；（三）变更机构名称的，在自</w:t>
      </w:r>
      <w:r>
        <w:rPr>
          <w:rFonts w:hint="eastAsia" w:ascii="仿宋_GB2312" w:hAnsi="仿宋_GB2312" w:eastAsia="仿宋_GB2312" w:cs="仿宋_GB2312"/>
          <w:b w:val="0"/>
          <w:bCs w:val="0"/>
          <w:strike w:val="0"/>
          <w:dstrike w:val="0"/>
          <w:color w:val="auto"/>
          <w:sz w:val="30"/>
          <w:szCs w:val="30"/>
          <w:highlight w:val="none"/>
          <w:lang w:eastAsia="zh-CN"/>
        </w:rPr>
        <w:t>营业执照（统一社会信用代码证）</w:t>
      </w:r>
      <w:r>
        <w:rPr>
          <w:rFonts w:hint="eastAsia" w:ascii="仿宋_GB2312" w:hAnsi="仿宋_GB2312" w:eastAsia="仿宋_GB2312" w:cs="仿宋_GB2312"/>
          <w:b w:val="0"/>
          <w:bCs w:val="0"/>
          <w:strike w:val="0"/>
          <w:dstrike w:val="0"/>
          <w:color w:val="auto"/>
          <w:sz w:val="30"/>
          <w:szCs w:val="30"/>
          <w:highlight w:val="none"/>
          <w:lang w:val="en-US" w:eastAsia="zh-CN"/>
        </w:rPr>
        <w:t>变更之日起20个工作日内，提交保险行业主管部门核准其名称变更的文件、保险行业主管部门颁发的变更后经营保险业务资格证明、变更后的</w:t>
      </w:r>
      <w:r>
        <w:rPr>
          <w:rFonts w:hint="eastAsia" w:ascii="仿宋_GB2312" w:hAnsi="仿宋_GB2312" w:eastAsia="仿宋_GB2312" w:cs="仿宋_GB2312"/>
          <w:b w:val="0"/>
          <w:bCs w:val="0"/>
          <w:strike w:val="0"/>
          <w:dstrike w:val="0"/>
          <w:color w:val="auto"/>
          <w:sz w:val="30"/>
          <w:szCs w:val="30"/>
          <w:highlight w:val="none"/>
          <w:lang w:eastAsia="zh-CN"/>
        </w:rPr>
        <w:t>营业执照（统一社会信用代码证）</w:t>
      </w:r>
      <w:r>
        <w:rPr>
          <w:rFonts w:hint="eastAsia" w:ascii="仿宋_GB2312" w:hAnsi="仿宋_GB2312" w:eastAsia="仿宋_GB2312" w:cs="仿宋_GB2312"/>
          <w:b w:val="0"/>
          <w:bCs w:val="0"/>
          <w:strike w:val="0"/>
          <w:dstrike w:val="0"/>
          <w:color w:val="auto"/>
          <w:sz w:val="30"/>
          <w:szCs w:val="30"/>
          <w:highlight w:val="none"/>
          <w:lang w:val="en-US" w:eastAsia="zh-CN"/>
        </w:rPr>
        <w:t>复印件。</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w:t>
      </w:r>
      <w:r>
        <w:rPr>
          <w:rFonts w:ascii="Times New Roman" w:hAnsi="Times New Roman" w:eastAsia="黑体" w:cs="Times New Roman"/>
          <w:color w:val="auto"/>
          <w:sz w:val="30"/>
          <w:szCs w:val="30"/>
        </w:rPr>
        <w:t>申请接受</w:t>
      </w:r>
    </w:p>
    <w:p>
      <w:pPr>
        <w:adjustRightInd w:val="0"/>
        <w:spacing w:line="360" w:lineRule="auto"/>
        <w:ind w:firstLine="600" w:firstLineChars="200"/>
        <w:rPr>
          <w:rFonts w:ascii="仿宋_GB2312" w:hAnsi="Times New Roman" w:eastAsia="仿宋_GB2312"/>
          <w:color w:val="auto"/>
          <w:sz w:val="30"/>
          <w:szCs w:val="30"/>
        </w:rPr>
      </w:pPr>
      <w:r>
        <w:rPr>
          <w:rFonts w:hint="eastAsia" w:ascii="仿宋_GB2312" w:hAnsi="Times New Roman" w:eastAsia="仿宋_GB2312"/>
          <w:color w:val="auto"/>
          <w:sz w:val="30"/>
          <w:szCs w:val="30"/>
        </w:rPr>
        <w:t>申请人可通过注册所在地国家外汇管理局分局提交申请。</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十一、</w:t>
      </w:r>
      <w:r>
        <w:rPr>
          <w:rFonts w:ascii="Times New Roman" w:hAnsi="Times New Roman" w:eastAsia="黑体" w:cs="Times New Roman"/>
          <w:color w:val="auto"/>
          <w:sz w:val="30"/>
          <w:szCs w:val="30"/>
        </w:rPr>
        <w:t>基本办理流程</w:t>
      </w:r>
    </w:p>
    <w:p>
      <w:pPr>
        <w:adjustRightInd w:val="0"/>
        <w:snapToGrid w:val="0"/>
        <w:spacing w:line="360" w:lineRule="auto"/>
        <w:ind w:firstLine="600"/>
        <w:jc w:val="left"/>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lang w:eastAsia="zh-CN"/>
        </w:rPr>
        <w:t>（一）</w:t>
      </w:r>
      <w:r>
        <w:rPr>
          <w:rFonts w:hint="eastAsia" w:ascii="楷体_GB2312" w:hAnsi="楷体_GB2312" w:eastAsia="楷体_GB2312" w:cs="楷体_GB2312"/>
          <w:color w:val="auto"/>
          <w:sz w:val="30"/>
          <w:szCs w:val="30"/>
        </w:rPr>
        <w:t>申请人提交申请</w:t>
      </w:r>
      <w:r>
        <w:rPr>
          <w:rFonts w:hint="eastAsia" w:ascii="楷体_GB2312" w:hAnsi="楷体_GB2312" w:eastAsia="楷体_GB2312" w:cs="楷体_GB2312"/>
          <w:color w:val="auto"/>
          <w:sz w:val="30"/>
          <w:szCs w:val="30"/>
          <w:lang w:eastAsia="zh-CN"/>
        </w:rPr>
        <w:t>。</w:t>
      </w:r>
    </w:p>
    <w:p>
      <w:pPr>
        <w:adjustRightInd w:val="0"/>
        <w:snapToGrid w:val="0"/>
        <w:spacing w:line="360" w:lineRule="auto"/>
        <w:ind w:firstLine="600"/>
        <w:jc w:val="left"/>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lang w:eastAsia="zh-CN"/>
        </w:rPr>
        <w:t>（二）</w:t>
      </w:r>
      <w:r>
        <w:rPr>
          <w:rFonts w:hint="eastAsia" w:ascii="楷体_GB2312" w:hAnsi="楷体_GB2312" w:eastAsia="楷体_GB2312" w:cs="楷体_GB2312"/>
          <w:color w:val="auto"/>
          <w:sz w:val="30"/>
          <w:szCs w:val="30"/>
        </w:rPr>
        <w:t>审批机构受理/不予受理</w:t>
      </w:r>
      <w:r>
        <w:rPr>
          <w:rFonts w:hint="eastAsia" w:ascii="楷体_GB2312" w:hAnsi="楷体_GB2312" w:eastAsia="楷体_GB2312" w:cs="楷体_GB2312"/>
          <w:color w:val="auto"/>
          <w:sz w:val="30"/>
          <w:szCs w:val="30"/>
          <w:lang w:eastAsia="zh-CN"/>
        </w:rPr>
        <w:t>。</w:t>
      </w:r>
    </w:p>
    <w:p>
      <w:pPr>
        <w:adjustRightInd w:val="0"/>
        <w:snapToGrid w:val="0"/>
        <w:spacing w:line="360" w:lineRule="auto"/>
        <w:ind w:firstLine="600"/>
        <w:jc w:val="left"/>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申请事项属于本局职责范围，但依法不需要取得行政许可的</w:t>
      </w:r>
      <w:r>
        <w:rPr>
          <w:rFonts w:ascii="Times New Roman" w:hAnsi="Times New Roman" w:eastAsia="仿宋_GB2312" w:cs="Times New Roman"/>
          <w:color w:val="auto"/>
          <w:sz w:val="30"/>
          <w:szCs w:val="30"/>
        </w:rPr>
        <w:t>，</w:t>
      </w:r>
      <w:r>
        <w:rPr>
          <w:rFonts w:hint="eastAsia" w:ascii="Times New Roman" w:hAnsi="Times New Roman" w:eastAsia="仿宋_GB2312" w:cs="Times New Roman"/>
          <w:color w:val="auto"/>
          <w:sz w:val="30"/>
          <w:szCs w:val="30"/>
        </w:rPr>
        <w:t>即时告知不受理</w:t>
      </w:r>
      <w:r>
        <w:rPr>
          <w:rFonts w:hint="eastAsia" w:ascii="Times New Roman" w:hAnsi="Times New Roman" w:eastAsia="仿宋_GB2312" w:cs="Times New Roman"/>
          <w:color w:val="auto"/>
          <w:sz w:val="30"/>
          <w:szCs w:val="30"/>
          <w:lang w:eastAsia="zh-CN"/>
        </w:rPr>
        <w:t>，出具</w:t>
      </w:r>
      <w:r>
        <w:rPr>
          <w:rFonts w:hint="eastAsia" w:ascii="Times New Roman" w:hAnsi="Times New Roman" w:eastAsia="仿宋_GB2312" w:cs="Times New Roman"/>
          <w:color w:val="auto"/>
          <w:sz w:val="30"/>
          <w:szCs w:val="30"/>
        </w:rPr>
        <w:t>不予受理行政许可通知书</w:t>
      </w:r>
      <w:r>
        <w:rPr>
          <w:rFonts w:ascii="Times New Roman" w:hAnsi="Times New Roman" w:eastAsia="仿宋_GB2312" w:cs="Times New Roman"/>
          <w:color w:val="auto"/>
          <w:sz w:val="30"/>
          <w:szCs w:val="30"/>
        </w:rPr>
        <w:t>；</w:t>
      </w:r>
    </w:p>
    <w:p>
      <w:pPr>
        <w:adjustRightInd w:val="0"/>
        <w:snapToGrid w:val="0"/>
        <w:spacing w:line="360" w:lineRule="auto"/>
        <w:ind w:firstLine="600"/>
        <w:jc w:val="left"/>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rPr>
        <w:t>申请事项不属于本局职责范围，即时作出不予受理的决定，出具不予受理行政许可通知书，并告知申请人向有关行政机关申请；</w:t>
      </w:r>
    </w:p>
    <w:p>
      <w:pPr>
        <w:widowControl w:val="0"/>
        <w:wordWrap/>
        <w:adjustRightInd w:val="0"/>
        <w:snapToGrid w:val="0"/>
        <w:spacing w:line="360" w:lineRule="auto"/>
        <w:ind w:left="0" w:leftChars="0" w:right="0" w:firstLine="600" w:firstLineChars="0"/>
        <w:jc w:val="left"/>
        <w:textAlignment w:val="auto"/>
        <w:outlineLvl w:val="9"/>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申请材料不齐全或不符合法定形式的，当场或在收到申请材料之日起5个工作日内作出要求补正材料的决定，出具补正告知书，一次性告知需要补正的全部内容。申请人拒不补正，或者自补正告知书送达之日起30日内未能提交全部且符合法定形式的补正材料的，不予受理，出具不予受理行政许可通知书。</w:t>
      </w:r>
    </w:p>
    <w:p>
      <w:pPr>
        <w:widowControl w:val="0"/>
        <w:wordWrap/>
        <w:adjustRightInd w:val="0"/>
        <w:snapToGrid w:val="0"/>
        <w:spacing w:line="360" w:lineRule="auto"/>
        <w:ind w:left="0" w:leftChars="0" w:right="0" w:firstLine="600" w:firstLineChars="0"/>
        <w:jc w:val="left"/>
        <w:textAlignment w:val="auto"/>
        <w:outlineLvl w:val="9"/>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申请事项属于本局职责范围，申请材料齐全、符合法定形式，或申请人按照要求提交全部补正申请材料的，受理行政许可申请，出具行政许可受理通知书。</w:t>
      </w:r>
    </w:p>
    <w:p>
      <w:pPr>
        <w:widowControl w:val="0"/>
        <w:wordWrap/>
        <w:adjustRightInd w:val="0"/>
        <w:snapToGrid w:val="0"/>
        <w:spacing w:line="360" w:lineRule="auto"/>
        <w:ind w:left="0" w:leftChars="0" w:right="0" w:firstLine="600" w:firstLineChars="0"/>
        <w:jc w:val="left"/>
        <w:textAlignment w:val="auto"/>
        <w:outlineLvl w:val="9"/>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lang w:eastAsia="zh-CN"/>
        </w:rPr>
        <w:t>（三）</w:t>
      </w:r>
      <w:r>
        <w:rPr>
          <w:rFonts w:hint="eastAsia" w:ascii="楷体_GB2312" w:hAnsi="楷体_GB2312" w:eastAsia="楷体_GB2312" w:cs="楷体_GB2312"/>
          <w:color w:val="auto"/>
          <w:sz w:val="30"/>
          <w:szCs w:val="30"/>
        </w:rPr>
        <w:t>审批机构审查</w:t>
      </w:r>
      <w:r>
        <w:rPr>
          <w:rFonts w:hint="eastAsia" w:ascii="楷体_GB2312" w:hAnsi="楷体_GB2312" w:eastAsia="楷体_GB2312" w:cs="楷体_GB2312"/>
          <w:color w:val="auto"/>
          <w:sz w:val="30"/>
          <w:szCs w:val="30"/>
          <w:lang w:eastAsia="zh-CN"/>
        </w:rPr>
        <w:t>。</w:t>
      </w:r>
    </w:p>
    <w:p>
      <w:pPr>
        <w:adjustRightInd w:val="0"/>
        <w:snapToGrid w:val="0"/>
        <w:spacing w:line="360" w:lineRule="auto"/>
        <w:ind w:firstLine="600"/>
        <w:jc w:val="left"/>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lang w:eastAsia="zh-CN"/>
        </w:rPr>
        <w:t>（四）</w:t>
      </w:r>
      <w:r>
        <w:rPr>
          <w:rFonts w:hint="eastAsia" w:ascii="楷体_GB2312" w:hAnsi="楷体_GB2312" w:eastAsia="楷体_GB2312" w:cs="楷体_GB2312"/>
          <w:color w:val="auto"/>
          <w:sz w:val="30"/>
          <w:szCs w:val="30"/>
        </w:rPr>
        <w:t>决定作出许可决定书/不予许可决定书</w:t>
      </w:r>
      <w:r>
        <w:rPr>
          <w:rFonts w:hint="eastAsia" w:ascii="楷体_GB2312" w:hAnsi="楷体_GB2312" w:eastAsia="楷体_GB2312" w:cs="楷体_GB2312"/>
          <w:color w:val="auto"/>
          <w:sz w:val="30"/>
          <w:szCs w:val="30"/>
          <w:lang w:eastAsia="zh-CN"/>
        </w:rPr>
        <w:t>。</w:t>
      </w:r>
    </w:p>
    <w:p>
      <w:pPr>
        <w:widowControl w:val="0"/>
        <w:wordWrap/>
        <w:adjustRightInd w:val="0"/>
        <w:snapToGrid w:val="0"/>
        <w:spacing w:line="360" w:lineRule="auto"/>
        <w:ind w:left="0" w:leftChars="0" w:right="0" w:firstLine="600" w:firstLineChars="200"/>
        <w:jc w:val="left"/>
        <w:textAlignment w:val="auto"/>
        <w:outlineLvl w:val="9"/>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申请符合法定条件、拟准予行政许可的，出具准予行政许可的书面决定</w:t>
      </w:r>
      <w:r>
        <w:rPr>
          <w:rFonts w:ascii="Times New Roman" w:hAnsi="Times New Roman" w:eastAsia="仿宋_GB2312" w:cs="Times New Roman"/>
          <w:color w:val="auto"/>
          <w:sz w:val="30"/>
          <w:szCs w:val="30"/>
        </w:rPr>
        <w:t>；</w:t>
      </w:r>
    </w:p>
    <w:p>
      <w:pPr>
        <w:widowControl w:val="0"/>
        <w:wordWrap/>
        <w:adjustRightInd w:val="0"/>
        <w:snapToGrid w:val="0"/>
        <w:spacing w:line="360" w:lineRule="auto"/>
        <w:ind w:left="0" w:leftChars="0" w:right="0" w:firstLine="600" w:firstLineChars="200"/>
        <w:jc w:val="left"/>
        <w:textAlignment w:val="auto"/>
        <w:outlineLvl w:val="9"/>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申请不符合法定条件、拟不予行政许可的，出具不予行政许可决定书，并说明不予行政许可的理由</w:t>
      </w: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rPr>
        <w:t>申请人享有依法申请行政复议的权利。</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十二、</w:t>
      </w:r>
      <w:r>
        <w:rPr>
          <w:rFonts w:ascii="Times New Roman" w:hAnsi="Times New Roman" w:eastAsia="黑体" w:cs="Times New Roman"/>
          <w:color w:val="auto"/>
          <w:sz w:val="30"/>
          <w:szCs w:val="30"/>
        </w:rPr>
        <w:t>办理方式</w:t>
      </w:r>
    </w:p>
    <w:p>
      <w:pPr>
        <w:adjustRightInd w:val="0"/>
        <w:snapToGrid w:val="0"/>
        <w:spacing w:line="360" w:lineRule="auto"/>
        <w:ind w:firstLine="600"/>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一般程序：申请、受理、审查、决定。</w:t>
      </w:r>
    </w:p>
    <w:p>
      <w:pPr>
        <w:adjustRightInd w:val="0"/>
        <w:snapToGrid w:val="0"/>
        <w:spacing w:line="360" w:lineRule="auto"/>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当场决定：</w:t>
      </w:r>
      <w:r>
        <w:rPr>
          <w:rFonts w:hint="eastAsia" w:ascii="Times New Roman" w:hAnsi="Times New Roman" w:eastAsia="仿宋_GB2312" w:cs="Times New Roman"/>
          <w:color w:val="auto"/>
          <w:sz w:val="30"/>
          <w:szCs w:val="30"/>
        </w:rPr>
        <w:t>能当场作出决定的，应当场作出行政许可决定。当场作出行政许可决定的，可不出具行政许可受理通知书</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十三、</w:t>
      </w:r>
      <w:r>
        <w:rPr>
          <w:rFonts w:hint="eastAsia" w:ascii="Times New Roman" w:hAnsi="Times New Roman" w:eastAsia="黑体" w:cs="Times New Roman"/>
          <w:color w:val="auto"/>
          <w:sz w:val="30"/>
          <w:szCs w:val="30"/>
        </w:rPr>
        <w:t>受理和审批时限</w:t>
      </w:r>
    </w:p>
    <w:p>
      <w:pPr>
        <w:adjustRightInd w:val="0"/>
        <w:snapToGrid w:val="0"/>
        <w:spacing w:line="360" w:lineRule="auto"/>
        <w:ind w:firstLine="585"/>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（一）</w:t>
      </w:r>
      <w:r>
        <w:rPr>
          <w:rFonts w:hint="eastAsia" w:ascii="Times New Roman" w:hAnsi="Times New Roman" w:eastAsia="仿宋_GB2312" w:cs="Times New Roman"/>
          <w:color w:val="auto"/>
          <w:sz w:val="30"/>
          <w:szCs w:val="30"/>
        </w:rPr>
        <w:t>承诺受理时限：5个工作日</w:t>
      </w:r>
    </w:p>
    <w:p>
      <w:pPr>
        <w:adjustRightInd w:val="0"/>
        <w:snapToGrid w:val="0"/>
        <w:spacing w:line="360" w:lineRule="auto"/>
        <w:ind w:firstLine="585"/>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（二）</w:t>
      </w:r>
      <w:r>
        <w:rPr>
          <w:rFonts w:hint="eastAsia" w:ascii="Times New Roman" w:hAnsi="Times New Roman" w:eastAsia="仿宋_GB2312" w:cs="Times New Roman"/>
          <w:color w:val="auto"/>
          <w:sz w:val="30"/>
          <w:szCs w:val="30"/>
        </w:rPr>
        <w:t>承诺审批时限：20个工作日</w:t>
      </w:r>
    </w:p>
    <w:p>
      <w:pPr>
        <w:adjustRightInd w:val="0"/>
        <w:snapToGrid w:val="0"/>
        <w:spacing w:line="360" w:lineRule="auto"/>
        <w:ind w:firstLine="585"/>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十四、</w:t>
      </w:r>
      <w:r>
        <w:rPr>
          <w:rFonts w:ascii="Times New Roman" w:hAnsi="Times New Roman" w:eastAsia="黑体" w:cs="Times New Roman"/>
          <w:color w:val="auto"/>
          <w:sz w:val="30"/>
          <w:szCs w:val="30"/>
        </w:rPr>
        <w:t>审批收费依据及标准</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（一）</w:t>
      </w:r>
      <w:r>
        <w:rPr>
          <w:rFonts w:hint="eastAsia" w:ascii="Times New Roman" w:hAnsi="Times New Roman" w:eastAsia="仿宋_GB2312" w:cs="Times New Roman"/>
          <w:color w:val="auto"/>
          <w:sz w:val="30"/>
          <w:szCs w:val="30"/>
        </w:rPr>
        <w:t>办理行政许可是否收费：否</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（二）</w:t>
      </w:r>
      <w:r>
        <w:rPr>
          <w:rFonts w:hint="eastAsia" w:ascii="Times New Roman" w:hAnsi="Times New Roman" w:eastAsia="仿宋_GB2312" w:cs="Times New Roman"/>
          <w:color w:val="auto"/>
          <w:sz w:val="30"/>
          <w:szCs w:val="30"/>
        </w:rPr>
        <w:t>收费项目的名称、收费项目的标准、设定收费项目的依据、规定收费标准的依据：无</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十五、</w:t>
      </w:r>
      <w:r>
        <w:rPr>
          <w:rFonts w:ascii="Times New Roman" w:hAnsi="Times New Roman" w:eastAsia="黑体" w:cs="Times New Roman"/>
          <w:color w:val="auto"/>
          <w:sz w:val="30"/>
          <w:szCs w:val="30"/>
        </w:rPr>
        <w:t>审批结果</w:t>
      </w:r>
    </w:p>
    <w:p>
      <w:pPr>
        <w:adjustRightInd w:val="0"/>
        <w:snapToGrid w:val="0"/>
        <w:spacing w:line="360" w:lineRule="auto"/>
        <w:ind w:firstLine="6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（一）</w:t>
      </w:r>
      <w:r>
        <w:rPr>
          <w:rFonts w:hint="eastAsia" w:ascii="Times New Roman" w:hAnsi="Times New Roman" w:eastAsia="仿宋_GB2312" w:cs="Times New Roman"/>
          <w:color w:val="auto"/>
          <w:sz w:val="30"/>
          <w:szCs w:val="30"/>
        </w:rPr>
        <w:t>审批结果类型：批文</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6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（二）</w:t>
      </w:r>
      <w:r>
        <w:rPr>
          <w:rFonts w:hint="eastAsia" w:ascii="Times New Roman" w:hAnsi="Times New Roman" w:eastAsia="仿宋_GB2312" w:cs="Times New Roman"/>
          <w:color w:val="auto"/>
          <w:sz w:val="30"/>
          <w:szCs w:val="30"/>
        </w:rPr>
        <w:t>审批结果名称：《国家外汇管理局XX分局关于XXXX的批复》</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600"/>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（三）</w:t>
      </w:r>
      <w:r>
        <w:rPr>
          <w:rFonts w:hint="eastAsia" w:ascii="Times New Roman" w:hAnsi="Times New Roman" w:eastAsia="仿宋_GB2312" w:cs="Times New Roman"/>
          <w:color w:val="auto"/>
          <w:sz w:val="30"/>
          <w:szCs w:val="30"/>
        </w:rPr>
        <w:t>审批结果的有效期限：无期限</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6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十六、</w:t>
      </w:r>
      <w:r>
        <w:rPr>
          <w:rFonts w:ascii="Times New Roman" w:hAnsi="Times New Roman" w:eastAsia="黑体" w:cs="Times New Roman"/>
          <w:color w:val="auto"/>
          <w:sz w:val="30"/>
          <w:szCs w:val="30"/>
        </w:rPr>
        <w:t>结果送达</w:t>
      </w:r>
    </w:p>
    <w:p>
      <w:pPr>
        <w:adjustRightInd w:val="0"/>
        <w:snapToGrid w:val="0"/>
        <w:spacing w:line="360" w:lineRule="auto"/>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通过现场告知或电话通知申请人，并通过现场领取或邮寄方式将结果送达。</w:t>
      </w:r>
    </w:p>
    <w:p>
      <w:pPr>
        <w:adjustRightInd w:val="0"/>
        <w:snapToGrid w:val="0"/>
        <w:spacing w:line="360" w:lineRule="auto"/>
        <w:ind w:firstLine="601"/>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十七、</w:t>
      </w:r>
      <w:r>
        <w:rPr>
          <w:rFonts w:ascii="Times New Roman" w:hAnsi="Times New Roman" w:eastAsia="黑体" w:cs="Times New Roman"/>
          <w:color w:val="auto"/>
          <w:sz w:val="30"/>
          <w:szCs w:val="30"/>
        </w:rPr>
        <w:t>申请人权利和义务</w:t>
      </w:r>
    </w:p>
    <w:p>
      <w:pPr>
        <w:adjustRightInd w:val="0"/>
        <w:snapToGrid w:val="0"/>
        <w:spacing w:line="360" w:lineRule="auto"/>
        <w:ind w:firstLine="601"/>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申请人有权依法提出行政审批申请，依法进行投诉、举报、复议、诉讼等。申请人有义务保证申请材料完整、真实、准确，获批后合法合规办理相关业务。</w:t>
      </w:r>
    </w:p>
    <w:p>
      <w:pPr>
        <w:widowControl w:val="0"/>
        <w:numPr>
          <w:ilvl w:val="0"/>
          <w:numId w:val="0"/>
        </w:numPr>
        <w:wordWrap/>
        <w:adjustRightInd w:val="0"/>
        <w:snapToGrid w:val="0"/>
        <w:spacing w:line="360" w:lineRule="auto"/>
        <w:ind w:left="0" w:leftChars="0" w:right="0" w:firstLine="600" w:firstLineChars="200"/>
        <w:jc w:val="both"/>
        <w:textAlignment w:val="auto"/>
        <w:outlineLvl w:val="9"/>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十八、</w:t>
      </w:r>
      <w:r>
        <w:rPr>
          <w:rFonts w:ascii="Times New Roman" w:hAnsi="Times New Roman" w:eastAsia="黑体" w:cs="Times New Roman"/>
          <w:color w:val="auto"/>
          <w:sz w:val="30"/>
          <w:szCs w:val="30"/>
        </w:rPr>
        <w:t>咨询途径、监督和投诉、公开查询等由所在地分局</w:t>
      </w:r>
      <w:bookmarkStart w:id="2" w:name="_GoBack"/>
      <w:bookmarkEnd w:id="2"/>
      <w:r>
        <w:rPr>
          <w:rFonts w:ascii="Times New Roman" w:hAnsi="Times New Roman" w:eastAsia="黑体" w:cs="Times New Roman"/>
          <w:color w:val="auto"/>
          <w:sz w:val="30"/>
          <w:szCs w:val="30"/>
        </w:rPr>
        <w:t>办理</w:t>
      </w:r>
    </w:p>
    <w:p>
      <w:pPr>
        <w:adjustRightInd w:val="0"/>
        <w:snapToGrid w:val="0"/>
        <w:spacing w:line="360" w:lineRule="auto"/>
        <w:rPr>
          <w:rFonts w:hint="eastAsia" w:ascii="楷体_GB2312" w:hAnsi="楷体_GB2312" w:eastAsia="楷体_GB2312" w:cs="楷体_GB2312"/>
          <w:b w:val="0"/>
          <w:bCs w:val="0"/>
          <w:color w:val="auto"/>
          <w:sz w:val="30"/>
          <w:szCs w:val="30"/>
          <w:lang w:val="en-US" w:eastAsia="zh-CN"/>
        </w:rPr>
      </w:pPr>
      <w:r>
        <w:rPr>
          <w:rFonts w:hint="eastAsia" w:ascii="楷体_GB2312" w:hAnsi="楷体_GB2312" w:eastAsia="楷体_GB2312" w:cs="楷体_GB2312"/>
          <w:b w:val="0"/>
          <w:bCs w:val="0"/>
          <w:color w:val="auto"/>
          <w:sz w:val="30"/>
          <w:szCs w:val="30"/>
          <w:lang w:val="en-US" w:eastAsia="zh-CN"/>
        </w:rPr>
        <w:t xml:space="preserve">   （一）咨询途径</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现场咨询：广西南宁市青秀区滨湖路58号中国人民银行广西壮族自治区分行七楼704室。</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电话咨询：0771-6111312</w:t>
      </w:r>
    </w:p>
    <w:p>
      <w:pPr>
        <w:adjustRightInd w:val="0"/>
        <w:snapToGrid w:val="0"/>
        <w:spacing w:line="360" w:lineRule="auto"/>
        <w:ind w:firstLine="601"/>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网站咨询：</w:t>
      </w:r>
      <w:r>
        <w:rPr>
          <w:rFonts w:hint="eastAsia" w:ascii="Times New Roman" w:hAnsi="Times New Roman" w:eastAsia="仿宋_GB2312" w:cs="Times New Roman"/>
          <w:color w:val="auto"/>
          <w:sz w:val="30"/>
          <w:szCs w:val="30"/>
          <w:lang w:eastAsia="zh-CN"/>
        </w:rPr>
        <w:t>国家外汇管理局广西壮族自治区分局官方网站（www.safe.gov.cn</w:t>
      </w:r>
      <w:r>
        <w:rPr>
          <w:rFonts w:hint="eastAsia" w:ascii="Times New Roman" w:hAnsi="Times New Roman" w:eastAsia="仿宋_GB2312" w:cs="Times New Roman"/>
          <w:color w:val="auto"/>
          <w:sz w:val="30"/>
          <w:szCs w:val="30"/>
          <w:lang w:val="en-US" w:eastAsia="zh-CN"/>
        </w:rPr>
        <w:t>/guangxi/）</w:t>
      </w:r>
      <w:r>
        <w:rPr>
          <w:rFonts w:hint="eastAsia" w:ascii="Times New Roman" w:hAnsi="Times New Roman" w:eastAsia="仿宋_GB2312" w:cs="Times New Roman"/>
          <w:color w:val="auto"/>
          <w:sz w:val="30"/>
          <w:szCs w:val="30"/>
          <w:lang w:eastAsia="zh-CN"/>
        </w:rPr>
        <w:t>咨询反馈栏目。</w:t>
      </w:r>
    </w:p>
    <w:p>
      <w:pPr>
        <w:adjustRightInd w:val="0"/>
        <w:snapToGrid w:val="0"/>
        <w:spacing w:line="360" w:lineRule="auto"/>
        <w:ind w:firstLine="601"/>
        <w:rPr>
          <w:rFonts w:hint="eastAsia" w:ascii="楷体_GB2312" w:hAnsi="楷体_GB2312" w:eastAsia="楷体_GB2312" w:cs="楷体_GB2312"/>
          <w:b w:val="0"/>
          <w:bCs w:val="0"/>
          <w:color w:val="auto"/>
          <w:sz w:val="30"/>
          <w:szCs w:val="30"/>
          <w:lang w:val="en-US" w:eastAsia="zh-CN"/>
        </w:rPr>
      </w:pPr>
      <w:r>
        <w:rPr>
          <w:rFonts w:hint="eastAsia" w:ascii="楷体_GB2312" w:hAnsi="楷体_GB2312" w:eastAsia="楷体_GB2312" w:cs="楷体_GB2312"/>
          <w:b w:val="0"/>
          <w:bCs w:val="0"/>
          <w:color w:val="auto"/>
          <w:sz w:val="30"/>
          <w:szCs w:val="30"/>
          <w:lang w:val="en-US" w:eastAsia="zh-CN"/>
        </w:rPr>
        <w:t>（二）监督和投诉途径</w:t>
      </w:r>
    </w:p>
    <w:p>
      <w:pPr>
        <w:adjustRightInd w:val="0"/>
        <w:snapToGrid w:val="0"/>
        <w:spacing w:line="360" w:lineRule="auto"/>
        <w:ind w:firstLine="601"/>
        <w:rPr>
          <w:rFonts w:hint="eastAsia" w:ascii="Times New Roman" w:hAnsi="Times New Roman" w:eastAsia="仿宋_GB2312" w:cs="Times New Roman"/>
          <w:b w:val="0"/>
          <w:bCs w:val="0"/>
          <w:color w:val="auto"/>
          <w:sz w:val="30"/>
          <w:szCs w:val="30"/>
          <w:lang w:val="en-US" w:eastAsia="zh-CN"/>
        </w:rPr>
      </w:pPr>
      <w:r>
        <w:rPr>
          <w:rFonts w:hint="eastAsia" w:ascii="Times New Roman" w:hAnsi="Times New Roman" w:eastAsia="仿宋_GB2312" w:cs="Times New Roman"/>
          <w:b w:val="0"/>
          <w:bCs w:val="0"/>
          <w:color w:val="auto"/>
          <w:sz w:val="30"/>
          <w:szCs w:val="30"/>
          <w:lang w:val="en-US" w:eastAsia="zh-CN"/>
        </w:rPr>
        <w:t>电话投诉：0771-6111357</w:t>
      </w:r>
    </w:p>
    <w:p>
      <w:pPr>
        <w:adjustRightInd w:val="0"/>
        <w:snapToGrid w:val="0"/>
        <w:spacing w:line="360" w:lineRule="auto"/>
        <w:ind w:firstLine="601"/>
        <w:rPr>
          <w:rFonts w:hint="eastAsia" w:ascii="Times New Roman" w:hAnsi="Times New Roman" w:eastAsia="仿宋_GB2312" w:cs="Times New Roman"/>
          <w:b w:val="0"/>
          <w:bCs w:val="0"/>
          <w:color w:val="auto"/>
          <w:sz w:val="30"/>
          <w:szCs w:val="30"/>
          <w:lang w:val="en-US" w:eastAsia="zh-CN"/>
        </w:rPr>
      </w:pPr>
      <w:r>
        <w:rPr>
          <w:rFonts w:hint="eastAsia" w:ascii="Times New Roman" w:hAnsi="Times New Roman" w:eastAsia="仿宋_GB2312" w:cs="Times New Roman"/>
          <w:b w:val="0"/>
          <w:bCs w:val="0"/>
          <w:color w:val="auto"/>
          <w:sz w:val="30"/>
          <w:szCs w:val="30"/>
          <w:lang w:val="en-US" w:eastAsia="zh-CN"/>
        </w:rPr>
        <w:t>电子邮箱投诉：gxwgwg@163.com</w:t>
      </w:r>
    </w:p>
    <w:p>
      <w:pPr>
        <w:adjustRightInd w:val="0"/>
        <w:snapToGrid w:val="0"/>
        <w:spacing w:line="360" w:lineRule="auto"/>
        <w:ind w:firstLine="601"/>
        <w:rPr>
          <w:rFonts w:hint="eastAsia" w:ascii="Times New Roman" w:hAnsi="Times New Roman" w:eastAsia="仿宋_GB2312" w:cs="Times New Roman"/>
          <w:b w:val="0"/>
          <w:bCs w:val="0"/>
          <w:color w:val="auto"/>
          <w:sz w:val="30"/>
          <w:szCs w:val="30"/>
          <w:lang w:val="en-US" w:eastAsia="zh-CN"/>
        </w:rPr>
      </w:pPr>
      <w:r>
        <w:rPr>
          <w:rFonts w:hint="eastAsia" w:ascii="Times New Roman" w:hAnsi="Times New Roman" w:eastAsia="仿宋_GB2312" w:cs="Times New Roman"/>
          <w:b w:val="0"/>
          <w:bCs w:val="0"/>
          <w:color w:val="auto"/>
          <w:sz w:val="30"/>
          <w:szCs w:val="30"/>
          <w:lang w:val="en-US" w:eastAsia="zh-CN"/>
        </w:rPr>
        <w:t>网站投诉：国家外汇管理局广西壮族自治区分局官方网站（www.safe.gov.cn/guangxi/）咨询反馈栏目。</w:t>
      </w:r>
    </w:p>
    <w:p>
      <w:pPr>
        <w:adjustRightInd w:val="0"/>
        <w:snapToGrid w:val="0"/>
        <w:spacing w:line="360" w:lineRule="auto"/>
        <w:ind w:firstLine="601"/>
        <w:rPr>
          <w:rFonts w:hint="eastAsia" w:ascii="楷体_GB2312" w:hAnsi="楷体_GB2312" w:eastAsia="楷体_GB2312" w:cs="楷体_GB2312"/>
          <w:b w:val="0"/>
          <w:bCs w:val="0"/>
          <w:color w:val="auto"/>
          <w:sz w:val="30"/>
          <w:szCs w:val="30"/>
          <w:lang w:val="en-US" w:eastAsia="zh-CN"/>
        </w:rPr>
      </w:pPr>
      <w:r>
        <w:rPr>
          <w:rFonts w:hint="eastAsia" w:ascii="楷体_GB2312" w:hAnsi="楷体_GB2312" w:eastAsia="楷体_GB2312" w:cs="楷体_GB2312"/>
          <w:b w:val="0"/>
          <w:bCs w:val="0"/>
          <w:color w:val="auto"/>
          <w:sz w:val="30"/>
          <w:szCs w:val="30"/>
          <w:lang w:val="en-US" w:eastAsia="zh-CN"/>
        </w:rPr>
        <w:t>（三）</w:t>
      </w:r>
      <w:r>
        <w:rPr>
          <w:rFonts w:hint="eastAsia" w:ascii="楷体_GB2312" w:hAnsi="楷体_GB2312" w:eastAsia="楷体_GB2312" w:cs="楷体_GB2312"/>
          <w:b w:val="0"/>
          <w:bCs w:val="0"/>
          <w:color w:val="auto"/>
          <w:sz w:val="30"/>
          <w:szCs w:val="30"/>
          <w:lang w:eastAsia="zh-CN"/>
        </w:rPr>
        <w:t>公开</w:t>
      </w:r>
      <w:r>
        <w:rPr>
          <w:rFonts w:hint="eastAsia" w:ascii="楷体_GB2312" w:hAnsi="楷体_GB2312" w:eastAsia="楷体_GB2312" w:cs="楷体_GB2312"/>
          <w:b w:val="0"/>
          <w:bCs w:val="0"/>
          <w:color w:val="auto"/>
          <w:sz w:val="30"/>
          <w:szCs w:val="30"/>
        </w:rPr>
        <w:t>查询</w:t>
      </w:r>
      <w:r>
        <w:rPr>
          <w:rFonts w:hint="eastAsia" w:ascii="楷体_GB2312" w:hAnsi="楷体_GB2312" w:eastAsia="楷体_GB2312" w:cs="楷体_GB2312"/>
          <w:b w:val="0"/>
          <w:bCs w:val="0"/>
          <w:color w:val="auto"/>
          <w:sz w:val="30"/>
          <w:szCs w:val="30"/>
          <w:lang w:eastAsia="zh-CN"/>
        </w:rPr>
        <w:t>途径</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现场查询：广西南宁市青秀区滨湖路58号国家外汇管理局广西壮族自治区分局七楼704室。</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电话查询：0771-6111312</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十九、</w:t>
      </w:r>
      <w:r>
        <w:rPr>
          <w:rFonts w:hint="eastAsia" w:ascii="Times New Roman" w:hAnsi="Times New Roman" w:eastAsia="黑体" w:cs="Times New Roman"/>
          <w:color w:val="auto"/>
          <w:sz w:val="30"/>
          <w:szCs w:val="30"/>
        </w:rPr>
        <w:t>事项审查类型</w:t>
      </w:r>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前审后批。</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二十、</w:t>
      </w:r>
      <w:r>
        <w:rPr>
          <w:rFonts w:hint="eastAsia" w:ascii="Times New Roman" w:hAnsi="Times New Roman" w:eastAsia="黑体" w:cs="Times New Roman"/>
          <w:color w:val="auto"/>
          <w:sz w:val="30"/>
          <w:szCs w:val="30"/>
        </w:rPr>
        <w:t>办公地址和时间</w:t>
      </w:r>
    </w:p>
    <w:p>
      <w:pPr>
        <w:widowControl w:val="0"/>
        <w:wordWrap/>
        <w:adjustRightInd w:val="0"/>
        <w:snapToGrid w:val="0"/>
        <w:spacing w:line="360" w:lineRule="auto"/>
        <w:ind w:left="0" w:leftChars="0" w:firstLine="600" w:firstLineChars="200"/>
        <w:jc w:val="both"/>
        <w:textAlignment w:val="auto"/>
        <w:outlineLvl w:val="9"/>
        <w:rPr>
          <w:rFonts w:hint="eastAsia" w:ascii="仿宋_GB2312" w:hAnsi="Times New Roman" w:eastAsia="仿宋_GB2312"/>
          <w:color w:val="auto"/>
          <w:sz w:val="30"/>
          <w:szCs w:val="30"/>
        </w:rPr>
      </w:pPr>
      <w:r>
        <w:rPr>
          <w:rFonts w:hint="eastAsia" w:ascii="仿宋_GB2312" w:hAnsi="Times New Roman" w:eastAsia="仿宋_GB2312"/>
          <w:color w:val="auto"/>
          <w:sz w:val="30"/>
          <w:szCs w:val="30"/>
          <w:lang w:val="en-US" w:eastAsia="zh-CN"/>
        </w:rPr>
        <w:t>办公</w:t>
      </w:r>
      <w:r>
        <w:rPr>
          <w:rFonts w:hint="eastAsia" w:ascii="仿宋_GB2312" w:hAnsi="Times New Roman" w:eastAsia="仿宋_GB2312"/>
          <w:color w:val="auto"/>
          <w:sz w:val="30"/>
          <w:szCs w:val="30"/>
        </w:rPr>
        <w:t>地址：广西南宁市青秀区滨湖路58号中国人民银行广西壮族自治区分行</w:t>
      </w:r>
      <w:r>
        <w:rPr>
          <w:rFonts w:hint="eastAsia" w:ascii="仿宋_GB2312" w:hAnsi="Times New Roman" w:eastAsia="仿宋_GB2312"/>
          <w:color w:val="auto"/>
          <w:sz w:val="30"/>
          <w:szCs w:val="30"/>
          <w:lang w:eastAsia="zh-CN"/>
        </w:rPr>
        <w:t>七楼704室</w:t>
      </w:r>
      <w:r>
        <w:rPr>
          <w:rFonts w:hint="eastAsia" w:ascii="仿宋_GB2312" w:hAnsi="Times New Roman" w:eastAsia="仿宋_GB2312"/>
          <w:color w:val="auto"/>
          <w:sz w:val="30"/>
          <w:szCs w:val="30"/>
        </w:rPr>
        <w:t>。</w:t>
      </w:r>
    </w:p>
    <w:p>
      <w:pPr>
        <w:widowControl w:val="0"/>
        <w:wordWrap/>
        <w:adjustRightInd w:val="0"/>
        <w:snapToGrid w:val="0"/>
        <w:spacing w:line="360" w:lineRule="auto"/>
        <w:ind w:left="0" w:leftChars="0" w:firstLine="600" w:firstLineChars="200"/>
        <w:jc w:val="both"/>
        <w:textAlignment w:val="auto"/>
        <w:outlineLvl w:val="9"/>
        <w:rPr>
          <w:rFonts w:hint="eastAsia" w:ascii="仿宋_GB2312" w:hAnsi="Times New Roman" w:eastAsia="仿宋_GB2312"/>
          <w:color w:val="auto"/>
          <w:sz w:val="30"/>
          <w:szCs w:val="30"/>
        </w:rPr>
      </w:pPr>
      <w:r>
        <w:rPr>
          <w:rFonts w:hint="eastAsia" w:ascii="仿宋_GB2312" w:hAnsi="Times New Roman" w:eastAsia="仿宋_GB2312"/>
          <w:color w:val="auto"/>
          <w:sz w:val="30"/>
          <w:szCs w:val="30"/>
          <w:lang w:eastAsia="zh-CN"/>
        </w:rPr>
        <w:t>办公</w:t>
      </w:r>
      <w:r>
        <w:rPr>
          <w:rFonts w:hint="eastAsia" w:ascii="仿宋_GB2312" w:hAnsi="Times New Roman" w:eastAsia="仿宋_GB2312"/>
          <w:color w:val="auto"/>
          <w:sz w:val="30"/>
          <w:szCs w:val="30"/>
        </w:rPr>
        <w:t>时间：工作日，上午：</w:t>
      </w:r>
      <w:r>
        <w:rPr>
          <w:rFonts w:hint="default" w:ascii="Times New Roman" w:hAnsi="Times New Roman" w:eastAsia="仿宋_GB2312" w:cs="Times New Roman"/>
          <w:color w:val="auto"/>
          <w:sz w:val="30"/>
          <w:szCs w:val="30"/>
        </w:rPr>
        <w:t xml:space="preserve">08:30-12:00，下午：14:30-17:30。 </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二十一、</w:t>
      </w:r>
      <w:r>
        <w:rPr>
          <w:rFonts w:ascii="Times New Roman" w:hAnsi="Times New Roman" w:eastAsia="黑体" w:cs="Times New Roman"/>
          <w:color w:val="auto"/>
          <w:sz w:val="30"/>
          <w:szCs w:val="30"/>
        </w:rPr>
        <w:t>常见问题解答</w:t>
      </w:r>
    </w:p>
    <w:p>
      <w:pPr>
        <w:adjustRightInd w:val="0"/>
        <w:snapToGrid w:val="0"/>
        <w:spacing w:line="360" w:lineRule="auto"/>
        <w:ind w:firstLine="600" w:firstLineChars="200"/>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lang w:eastAsia="zh-CN"/>
        </w:rPr>
        <w:t>（一）</w:t>
      </w:r>
      <w:r>
        <w:rPr>
          <w:rFonts w:hint="eastAsia" w:ascii="楷体_GB2312" w:hAnsi="楷体_GB2312" w:eastAsia="楷体_GB2312" w:cs="楷体_GB2312"/>
          <w:color w:val="auto"/>
          <w:sz w:val="30"/>
          <w:szCs w:val="30"/>
        </w:rPr>
        <w:t>申请材料对内部管理制度有何要求？</w:t>
      </w:r>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与申请外汇保险业务相应的内部管理制度，包括但不限于业务操作流程、资金管理和数据报送等内容。</w:t>
      </w:r>
    </w:p>
    <w:p>
      <w:pPr>
        <w:adjustRightInd w:val="0"/>
        <w:snapToGrid w:val="0"/>
        <w:spacing w:line="360" w:lineRule="auto"/>
        <w:ind w:firstLine="600" w:firstLineChars="200"/>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lang w:eastAsia="zh-CN"/>
        </w:rPr>
        <w:t>（二）</w:t>
      </w:r>
      <w:r>
        <w:rPr>
          <w:rFonts w:hint="eastAsia" w:ascii="楷体_GB2312" w:hAnsi="楷体_GB2312" w:eastAsia="楷体_GB2312" w:cs="楷体_GB2312"/>
          <w:color w:val="auto"/>
          <w:sz w:val="30"/>
          <w:szCs w:val="30"/>
        </w:rPr>
        <w:t>受理后几个工作日能办结？</w:t>
      </w:r>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根据《国家外汇管理局行政许可实施办法》（国家外汇管理局公告2021年第1号）第十五条，对于不能当场作出决定的行政许可事项，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二十二、</w:t>
      </w:r>
      <w:r>
        <w:rPr>
          <w:rFonts w:ascii="Times New Roman" w:hAnsi="Times New Roman" w:eastAsia="黑体" w:cs="Times New Roman"/>
          <w:color w:val="auto"/>
          <w:sz w:val="30"/>
          <w:szCs w:val="30"/>
        </w:rPr>
        <w:t>常见错误示例</w:t>
      </w:r>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申请材料未明确业务范围，内部管理制度</w:t>
      </w:r>
      <w:r>
        <w:rPr>
          <w:rFonts w:hint="eastAsia" w:ascii="Times New Roman" w:hAnsi="Times New Roman" w:eastAsia="仿宋_GB2312" w:cs="Times New Roman"/>
          <w:color w:val="auto"/>
          <w:sz w:val="30"/>
          <w:szCs w:val="30"/>
          <w:lang w:eastAsia="zh-CN"/>
        </w:rPr>
        <w:t>不完善等</w:t>
      </w:r>
      <w:r>
        <w:rPr>
          <w:rFonts w:ascii="Times New Roman" w:hAnsi="Times New Roman" w:eastAsia="仿宋_GB2312" w:cs="Times New Roman"/>
          <w:color w:val="auto"/>
          <w:sz w:val="30"/>
          <w:szCs w:val="30"/>
        </w:rPr>
        <w:t>。</w:t>
      </w:r>
    </w:p>
    <w:p>
      <w:pPr>
        <w:widowControl/>
        <w:adjustRightInd w:val="0"/>
        <w:snapToGrid w:val="0"/>
        <w:spacing w:line="360" w:lineRule="auto"/>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br w:type="page"/>
      </w:r>
    </w:p>
    <w:p>
      <w:pPr>
        <w:adjustRightInd w:val="0"/>
        <w:snapToGrid w:val="0"/>
        <w:ind w:right="301"/>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附录</w:t>
      </w:r>
    </w:p>
    <w:p>
      <w:pPr>
        <w:adjustRightInd w:val="0"/>
        <w:snapToGrid w:val="0"/>
        <w:ind w:right="301"/>
        <w:jc w:val="center"/>
        <w:rPr>
          <w:color w:val="auto"/>
        </w:rPr>
      </w:pPr>
      <w:r>
        <w:rPr>
          <w:rFonts w:ascii="Times New Roman" w:hAnsi="Times New Roman" w:eastAsia="黑体" w:cs="Times New Roman"/>
          <w:color w:val="auto"/>
          <w:sz w:val="30"/>
          <w:szCs w:val="30"/>
        </w:rPr>
        <w:t>基本流程</w:t>
      </w:r>
      <w:r>
        <w:rPr>
          <w:rFonts w:ascii="Times New Roman" w:hAnsi="Times New Roman" w:eastAsia="黑体" w:cs="Times New Roman"/>
          <w:color w:val="auto"/>
          <w:kern w:val="2"/>
          <w:sz w:val="48"/>
          <w:szCs w:val="48"/>
          <w:lang w:val="en-US" w:eastAsia="zh-CN" w:bidi="ar-SA"/>
        </w:rPr>
        <w:pict>
          <v:group id="Group 47" o:spid="_x0000_s1028" o:spt="203" style="position:absolute;left:0pt;margin-left:-39.15pt;margin-top:40.85pt;height:505.05pt;width:481.85pt;z-index:251659264;mso-width-relative:page;mso-height-relative:page;" coordsize="9637,10101">
            <o:lock v:ext="edit" position="f" selection="f" grouping="f" rotation="f" cropping="f" text="f" aspectratio="f"/>
            <v:shape id="AutoShape 287" o:spid="_x0000_s1029" o:spt="32" type="#_x0000_t32" style="position:absolute;left:791;top:1929;height:0;width:1543;rotation:5898240f;"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AutoShape 288" o:spid="_x0000_s1030" o:spt="32" type="#_x0000_t32" style="position:absolute;left:3678;top:3177;height:0;width:504;"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AutoShape 289" o:spid="_x0000_s1031" o:spt="34" type="#_x0000_t34" style="position:absolute;left:3663;top:4208;height:1;width:519;" fillcolor="#FFFFFF" filled="t" o:preferrelative="t" stroked="t" coordsize="21600,21600" adj="10779">
              <v:path arrowok="t"/>
              <v:fill on="t" focussize="0,0"/>
              <v:stroke color="#000000" color2="#FFFFFF" miterlimit="2" endarrow="block"/>
              <v:imagedata gain="65536f" blacklevel="0f" gamma="0" o:title=""/>
              <o:lock v:ext="edit" position="f" selection="f" grouping="f" rotation="f" cropping="f" text="f" aspectratio="f"/>
            </v:shape>
            <v:shape id="AutoShape 290" o:spid="_x0000_s1032" o:spt="32" type="#_x0000_t32" style="position:absolute;left:7690;top:1940;flip:y;height:895;width:1;"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AutoShape 291" o:spid="_x0000_s1033" o:spt="32" type="#_x0000_t32" style="position:absolute;left:1612;top:1625;flip:x;height:1;width:4643;"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AutoShape 292" o:spid="_x0000_s1034" o:spt="32" type="#_x0000_t32" style="position:absolute;left:3985;top:6520;height:437;width:0;"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AutoShape 293" o:spid="_x0000_s1035" o:spt="32" type="#_x0000_t32" style="position:absolute;left:3969;top:8439;height:905;width:1;"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AutoShape 294" o:spid="_x0000_s1036" o:spt="32" type="#_x0000_t32" style="position:absolute;left:1610;top:4649;height:1391;width:0;" fillcolor="#FFFFFF" filled="t" o:preferrelative="t" stroked="t" coordsize="21600,21600">
              <v:path arrowok="t"/>
              <v:fill on="t" focussize="0,0"/>
              <v:stroke color="#000000" color2="#FFFFFF" miterlimit="2"/>
              <v:imagedata gain="65536f" blacklevel="0f" gamma="0" o:title=""/>
              <o:lock v:ext="edit" position="f" selection="f" grouping="f" rotation="f" cropping="f" text="f" aspectratio="f"/>
            </v:shape>
            <v:shape id="AutoShape 295" o:spid="_x0000_s1037" o:spt="32" type="#_x0000_t32" style="position:absolute;left:1610;top:6055;height:0;width:822;"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AutoShape 296" o:spid="_x0000_s1038" o:spt="110" type="#_x0000_t110" style="position:absolute;left:0;top:2715;height:2115;width:3150;"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接件并于</w:t>
                    </w:r>
                    <w:r>
                      <w:rPr>
                        <w:rFonts w:ascii="Times New Roman" w:hAnsi="Times New Roman" w:cs="Times New Roman"/>
                      </w:rPr>
                      <w:t>5</w:t>
                    </w:r>
                    <w:r>
                      <w:rPr>
                        <w:rFonts w:hint="eastAsia"/>
                      </w:rPr>
                      <w:t>个工作日作出是否受理决定</w:t>
                    </w:r>
                  </w:p>
                </w:txbxContent>
              </v:textbox>
            </v:shape>
            <v:shape id="AutoShape 297" o:spid="_x0000_s1039" o:spt="32" type="#_x0000_t32" style="position:absolute;left:3135;top:3682;height:0;width:1025;rotation:5898240f;" fillcolor="#FFFFFF" filled="t" o:preferrelative="t" stroked="t" coordsize="21600,21600">
              <v:path arrowok="t"/>
              <v:fill on="t" focussize="0,0"/>
              <v:stroke color="#000000" color2="#FFFFFF" miterlimit="2"/>
              <v:imagedata gain="65536f" blacklevel="0f" gamma="0" o:title=""/>
              <o:lock v:ext="edit" position="f" selection="f" grouping="f" rotation="f" cropping="f" text="f" aspectratio="f"/>
            </v:shape>
            <v:shape id="AutoShape 298" o:spid="_x0000_s1040" o:spt="32" type="#_x0000_t32" style="position:absolute;left:3150;top:3776;height:0;width:513;" fillcolor="#FFFFFF" filled="t" o:preferrelative="t" stroked="t" coordsize="21600,21600">
              <v:path arrowok="t"/>
              <v:fill on="t" focussize="0,0"/>
              <v:stroke color="#000000" color2="#FFFFFF" miterlimit="2"/>
              <v:imagedata gain="65536f" blacklevel="0f" gamma="0" o:title=""/>
              <o:lock v:ext="edit" position="f" selection="f" grouping="f" rotation="f" cropping="f" text="f" aspectratio="f"/>
            </v:shape>
            <v:rect id="Rectangle 299" o:spid="_x0000_s1041" o:spt="1" style="position:absolute;left:6255;top:1193;height:720;width:2929;"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申请人补</w:t>
                    </w:r>
                    <w:r>
                      <w:rPr>
                        <w:rFonts w:hint="eastAsia"/>
                        <w:lang w:eastAsia="zh-CN"/>
                      </w:rPr>
                      <w:t>正</w:t>
                    </w:r>
                    <w:r>
                      <w:rPr>
                        <w:rFonts w:hint="eastAsia"/>
                      </w:rPr>
                      <w:t>材料</w:t>
                    </w:r>
                  </w:p>
                  <w:p/>
                </w:txbxContent>
              </v:textbox>
            </v:rect>
            <v:shape id="AutoShape 300" o:spid="_x0000_s1042" o:spt="109" type="#_x0000_t109" style="position:absolute;left:4182;top:2835;height:587;width:5440;"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材料不全或不符合法定形式的，一次性告知补正材料</w:t>
                    </w:r>
                  </w:p>
                </w:txbxContent>
              </v:textbox>
            </v:shape>
            <v:rect id="Rectangle 301" o:spid="_x0000_s1043" o:spt="1" style="position:absolute;left:4197;top:3776;height:811;width:5440;"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Pr>
                      <w:rPr>
                        <w:rFonts w:hint="eastAsia"/>
                      </w:rPr>
                    </w:pPr>
                    <w:r>
                      <w:rPr>
                        <w:rFonts w:hint="eastAsia"/>
                      </w:rPr>
                      <w:t>依法不予受理的，作出不予受理决定，出具不予受理行政许可通知书</w:t>
                    </w:r>
                  </w:p>
                </w:txbxContent>
              </v:textbox>
            </v:rect>
            <v:shape id="AutoShape 302" o:spid="_x0000_s1044" o:spt="109" type="#_x0000_t109" style="position:absolute;left:2435;top:5705;height:815;width:3227;"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依法应予受理的，出具行政许可受理通知书</w:t>
                    </w:r>
                  </w:p>
                </w:txbxContent>
              </v:textbox>
            </v:shape>
            <v:shape id="AutoShape 303" o:spid="_x0000_s1045" o:spt="110" type="#_x0000_t110" style="position:absolute;left:2439;top:6957;height:1444;width:3064;"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Pr>
                      <w:jc w:val="center"/>
                    </w:pPr>
                    <w:r>
                      <w:rPr>
                        <w:rFonts w:hint="eastAsia"/>
                      </w:rPr>
                      <w:t>审查报批</w:t>
                    </w:r>
                  </w:p>
                </w:txbxContent>
              </v:textbox>
            </v:shape>
            <v:shape id="AutoShape 304" o:spid="_x0000_s1046" o:spt="109" type="#_x0000_t109" style="position:absolute;left:2435;top:9344;height:757;width:2987;"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拟准予行政许可的，出具准予行政许可的书面决定</w:t>
                    </w:r>
                  </w:p>
                </w:txbxContent>
              </v:textbox>
            </v:shape>
            <v:shape id="AutoShape 305" o:spid="_x0000_s1047" o:spt="109" type="#_x0000_t109" style="position:absolute;left:6769;top:7285;height:766;width:2298;"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依法出具不予行政许可决定书</w:t>
                    </w:r>
                  </w:p>
                </w:txbxContent>
              </v:textbox>
            </v:shape>
            <v:shape id="AutoShape 306" o:spid="_x0000_s1048" o:spt="32" type="#_x0000_t32" style="position:absolute;left:5503;top:7666;flip:y;height:15;width:1266;"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AutoShape 307" o:spid="_x0000_s1049" o:spt="116" type="#_x0000_t116" style="position:absolute;left:683;top:0;height:1172;width:2467;"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申请人现场提出书面申请，并提交材料</w:t>
                    </w:r>
                  </w:p>
                  <w:p/>
                </w:txbxContent>
              </v:textbox>
            </v:shape>
          </v:group>
        </w:pict>
      </w:r>
      <w:r>
        <w:rPr>
          <w:rFonts w:hint="eastAsia" w:ascii="Times New Roman" w:hAnsi="Times New Roman" w:eastAsia="黑体" w:cs="Times New Roman"/>
          <w:color w:val="auto"/>
          <w:sz w:val="30"/>
          <w:szCs w:val="30"/>
        </w:rPr>
        <w:t>图</w:t>
      </w:r>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Noto Sans Mono CJK JP Regular">
    <w:altName w:val="微软雅黑"/>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ascii="Calibri" w:hAnsi="Calibri" w:eastAsia="宋体" w:cs="黑体"/>
        <w:kern w:val="2"/>
        <w:sz w:val="18"/>
        <w:szCs w:val="18"/>
        <w:lang w:val="en-US" w:eastAsia="zh-CN" w:bidi="ar-SA"/>
      </w:rPr>
      <w:pict>
        <v:shape id="文本框 23" o:spid="_x0000_s2050"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9"/>
                  <w:jc w:val="center"/>
                </w:pPr>
                <w:r>
                  <w:fldChar w:fldCharType="begin"/>
                </w:r>
                <w:r>
                  <w:instrText xml:space="preserve"> PAGE   \* MERGEFORMAT </w:instrText>
                </w:r>
                <w:r>
                  <w:fldChar w:fldCharType="separate"/>
                </w:r>
                <w:r>
                  <w:rPr>
                    <w:lang w:val="zh-CN"/>
                  </w:rPr>
                  <w:t>5</w:t>
                </w:r>
                <w:r>
                  <w:rPr>
                    <w:lang w:val="zh-CN"/>
                  </w:rPr>
                  <w:fldChar w:fldCharType="end"/>
                </w:r>
              </w:p>
            </w:txbxContent>
          </v:textbox>
        </v:shape>
      </w:pic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Calibri" w:hAnsi="Calibri" w:eastAsia="宋体" w:cs="黑体"/>
        <w:kern w:val="2"/>
        <w:sz w:val="18"/>
        <w:szCs w:val="18"/>
        <w:lang w:val="en-US" w:eastAsia="zh-CN" w:bidi="ar-SA"/>
      </w:rPr>
      <w:pict>
        <v:shape id="文本框 24" o:spid="_x0000_s2049" o:spt="202" type="#_x0000_t202"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DED84"/>
    <w:multiLevelType w:val="singleLevel"/>
    <w:tmpl w:val="64DDED84"/>
    <w:lvl w:ilvl="0" w:tentative="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Q4YjIwYjI4ZmE4OWQ2YmE1MDViYjU3ZGNiYjhlODIifQ=="/>
  </w:docVars>
  <w:rsids>
    <w:rsidRoot w:val="00172A27"/>
    <w:rsid w:val="00003372"/>
    <w:rsid w:val="00016BA0"/>
    <w:rsid w:val="00022191"/>
    <w:rsid w:val="00023783"/>
    <w:rsid w:val="00041960"/>
    <w:rsid w:val="00042B58"/>
    <w:rsid w:val="00054B00"/>
    <w:rsid w:val="00055270"/>
    <w:rsid w:val="00057F76"/>
    <w:rsid w:val="0006560A"/>
    <w:rsid w:val="00072F8A"/>
    <w:rsid w:val="000750C8"/>
    <w:rsid w:val="00080630"/>
    <w:rsid w:val="00091661"/>
    <w:rsid w:val="00092D53"/>
    <w:rsid w:val="00096CBB"/>
    <w:rsid w:val="00097F7B"/>
    <w:rsid w:val="000B6901"/>
    <w:rsid w:val="000B728B"/>
    <w:rsid w:val="000C15B3"/>
    <w:rsid w:val="000C2B33"/>
    <w:rsid w:val="000C3109"/>
    <w:rsid w:val="000D1995"/>
    <w:rsid w:val="000D7478"/>
    <w:rsid w:val="000E1402"/>
    <w:rsid w:val="000E4759"/>
    <w:rsid w:val="0012271F"/>
    <w:rsid w:val="00130519"/>
    <w:rsid w:val="001332EE"/>
    <w:rsid w:val="00135BEE"/>
    <w:rsid w:val="0014667A"/>
    <w:rsid w:val="00154B58"/>
    <w:rsid w:val="00157C64"/>
    <w:rsid w:val="00157E81"/>
    <w:rsid w:val="00170126"/>
    <w:rsid w:val="00177059"/>
    <w:rsid w:val="00181D3E"/>
    <w:rsid w:val="00186BC2"/>
    <w:rsid w:val="00190108"/>
    <w:rsid w:val="00196FAE"/>
    <w:rsid w:val="001A3E49"/>
    <w:rsid w:val="001A72AA"/>
    <w:rsid w:val="001B1E2C"/>
    <w:rsid w:val="001C0646"/>
    <w:rsid w:val="001C44C7"/>
    <w:rsid w:val="001D65A2"/>
    <w:rsid w:val="001E1407"/>
    <w:rsid w:val="001F4BD4"/>
    <w:rsid w:val="001F7297"/>
    <w:rsid w:val="00205D07"/>
    <w:rsid w:val="00212F39"/>
    <w:rsid w:val="00215BA9"/>
    <w:rsid w:val="00217116"/>
    <w:rsid w:val="00231EED"/>
    <w:rsid w:val="00233841"/>
    <w:rsid w:val="00235F24"/>
    <w:rsid w:val="002417D2"/>
    <w:rsid w:val="00241FE8"/>
    <w:rsid w:val="0024527E"/>
    <w:rsid w:val="00253F7B"/>
    <w:rsid w:val="00263773"/>
    <w:rsid w:val="00263B1F"/>
    <w:rsid w:val="00291C17"/>
    <w:rsid w:val="0029313A"/>
    <w:rsid w:val="002B0B1C"/>
    <w:rsid w:val="002B598D"/>
    <w:rsid w:val="002B61C1"/>
    <w:rsid w:val="002C6BC7"/>
    <w:rsid w:val="002E1323"/>
    <w:rsid w:val="002F3868"/>
    <w:rsid w:val="00302119"/>
    <w:rsid w:val="00302E87"/>
    <w:rsid w:val="00310261"/>
    <w:rsid w:val="0033051F"/>
    <w:rsid w:val="00343044"/>
    <w:rsid w:val="00344B01"/>
    <w:rsid w:val="00353AC4"/>
    <w:rsid w:val="00360FA0"/>
    <w:rsid w:val="003616B4"/>
    <w:rsid w:val="0037548C"/>
    <w:rsid w:val="003A57B2"/>
    <w:rsid w:val="003C7132"/>
    <w:rsid w:val="003D77A5"/>
    <w:rsid w:val="003E6BF6"/>
    <w:rsid w:val="003F221D"/>
    <w:rsid w:val="003F3097"/>
    <w:rsid w:val="00402AE8"/>
    <w:rsid w:val="00405FE6"/>
    <w:rsid w:val="004104EB"/>
    <w:rsid w:val="004105BC"/>
    <w:rsid w:val="00421C27"/>
    <w:rsid w:val="00440A1F"/>
    <w:rsid w:val="00443603"/>
    <w:rsid w:val="00443604"/>
    <w:rsid w:val="004501EA"/>
    <w:rsid w:val="00460458"/>
    <w:rsid w:val="00463BFF"/>
    <w:rsid w:val="0046792D"/>
    <w:rsid w:val="004767DF"/>
    <w:rsid w:val="00481032"/>
    <w:rsid w:val="00493CCC"/>
    <w:rsid w:val="0049552E"/>
    <w:rsid w:val="004A0218"/>
    <w:rsid w:val="004A7840"/>
    <w:rsid w:val="004B545A"/>
    <w:rsid w:val="004B7E80"/>
    <w:rsid w:val="004C1596"/>
    <w:rsid w:val="004C457E"/>
    <w:rsid w:val="004C48D5"/>
    <w:rsid w:val="004D03B7"/>
    <w:rsid w:val="004D1436"/>
    <w:rsid w:val="004D57AE"/>
    <w:rsid w:val="004E0A65"/>
    <w:rsid w:val="004F07E8"/>
    <w:rsid w:val="005056D4"/>
    <w:rsid w:val="00526B2B"/>
    <w:rsid w:val="005362B0"/>
    <w:rsid w:val="00542447"/>
    <w:rsid w:val="00550714"/>
    <w:rsid w:val="00563796"/>
    <w:rsid w:val="00564312"/>
    <w:rsid w:val="005A2981"/>
    <w:rsid w:val="005C6937"/>
    <w:rsid w:val="005C7F02"/>
    <w:rsid w:val="005F0A86"/>
    <w:rsid w:val="005F144A"/>
    <w:rsid w:val="005F1C00"/>
    <w:rsid w:val="0061621E"/>
    <w:rsid w:val="0062366A"/>
    <w:rsid w:val="00630AA8"/>
    <w:rsid w:val="00630B2E"/>
    <w:rsid w:val="00643D2A"/>
    <w:rsid w:val="00664E11"/>
    <w:rsid w:val="00673432"/>
    <w:rsid w:val="00673B30"/>
    <w:rsid w:val="00696E5D"/>
    <w:rsid w:val="006B5B86"/>
    <w:rsid w:val="006C28AF"/>
    <w:rsid w:val="006C3F52"/>
    <w:rsid w:val="006C5908"/>
    <w:rsid w:val="006C633E"/>
    <w:rsid w:val="006D56AB"/>
    <w:rsid w:val="006D734F"/>
    <w:rsid w:val="006E043F"/>
    <w:rsid w:val="006E4695"/>
    <w:rsid w:val="006E4B8B"/>
    <w:rsid w:val="006E5901"/>
    <w:rsid w:val="0071091C"/>
    <w:rsid w:val="00714961"/>
    <w:rsid w:val="00743ACD"/>
    <w:rsid w:val="00744BD5"/>
    <w:rsid w:val="00745748"/>
    <w:rsid w:val="00750E36"/>
    <w:rsid w:val="00753CB0"/>
    <w:rsid w:val="00755460"/>
    <w:rsid w:val="00761FB7"/>
    <w:rsid w:val="00762107"/>
    <w:rsid w:val="00764CB9"/>
    <w:rsid w:val="00765B05"/>
    <w:rsid w:val="0077269F"/>
    <w:rsid w:val="00785088"/>
    <w:rsid w:val="00785F45"/>
    <w:rsid w:val="00795E87"/>
    <w:rsid w:val="007A2780"/>
    <w:rsid w:val="007A68EA"/>
    <w:rsid w:val="007B06FC"/>
    <w:rsid w:val="007B0FEF"/>
    <w:rsid w:val="007B2DB5"/>
    <w:rsid w:val="007C2C07"/>
    <w:rsid w:val="007D2C11"/>
    <w:rsid w:val="007D6171"/>
    <w:rsid w:val="007D69EA"/>
    <w:rsid w:val="007E2C7B"/>
    <w:rsid w:val="007E411B"/>
    <w:rsid w:val="007F0863"/>
    <w:rsid w:val="007F2F3B"/>
    <w:rsid w:val="00802307"/>
    <w:rsid w:val="0082168E"/>
    <w:rsid w:val="00821968"/>
    <w:rsid w:val="00836B5E"/>
    <w:rsid w:val="008471B6"/>
    <w:rsid w:val="0084737D"/>
    <w:rsid w:val="00851521"/>
    <w:rsid w:val="0085686A"/>
    <w:rsid w:val="00860878"/>
    <w:rsid w:val="008653AB"/>
    <w:rsid w:val="008731FF"/>
    <w:rsid w:val="008816CB"/>
    <w:rsid w:val="0088294A"/>
    <w:rsid w:val="0089282A"/>
    <w:rsid w:val="008A4538"/>
    <w:rsid w:val="008A704B"/>
    <w:rsid w:val="008B08D2"/>
    <w:rsid w:val="008B4EE5"/>
    <w:rsid w:val="008B5807"/>
    <w:rsid w:val="008D5FA0"/>
    <w:rsid w:val="008E04B5"/>
    <w:rsid w:val="008E2D38"/>
    <w:rsid w:val="008F5724"/>
    <w:rsid w:val="008F5900"/>
    <w:rsid w:val="00902633"/>
    <w:rsid w:val="009027D8"/>
    <w:rsid w:val="0090372F"/>
    <w:rsid w:val="00911E27"/>
    <w:rsid w:val="00911E9A"/>
    <w:rsid w:val="0092129A"/>
    <w:rsid w:val="00925BB2"/>
    <w:rsid w:val="00930C8C"/>
    <w:rsid w:val="009360EA"/>
    <w:rsid w:val="00947C57"/>
    <w:rsid w:val="00951149"/>
    <w:rsid w:val="00960EDB"/>
    <w:rsid w:val="009622DB"/>
    <w:rsid w:val="009664BC"/>
    <w:rsid w:val="009802B3"/>
    <w:rsid w:val="00980F02"/>
    <w:rsid w:val="00991B77"/>
    <w:rsid w:val="00997523"/>
    <w:rsid w:val="009A0C5D"/>
    <w:rsid w:val="009C3809"/>
    <w:rsid w:val="009C4672"/>
    <w:rsid w:val="009C491B"/>
    <w:rsid w:val="009D0911"/>
    <w:rsid w:val="009D24F8"/>
    <w:rsid w:val="009D688C"/>
    <w:rsid w:val="009D7B83"/>
    <w:rsid w:val="009E49CD"/>
    <w:rsid w:val="009F1CE6"/>
    <w:rsid w:val="009F276E"/>
    <w:rsid w:val="009F7A36"/>
    <w:rsid w:val="00A1524C"/>
    <w:rsid w:val="00A249C2"/>
    <w:rsid w:val="00A24FAB"/>
    <w:rsid w:val="00A301E7"/>
    <w:rsid w:val="00A31525"/>
    <w:rsid w:val="00A376AD"/>
    <w:rsid w:val="00A42E69"/>
    <w:rsid w:val="00A45CA7"/>
    <w:rsid w:val="00A51415"/>
    <w:rsid w:val="00A6014E"/>
    <w:rsid w:val="00A60356"/>
    <w:rsid w:val="00A61333"/>
    <w:rsid w:val="00A61A9C"/>
    <w:rsid w:val="00A66F2C"/>
    <w:rsid w:val="00A73838"/>
    <w:rsid w:val="00A81DF1"/>
    <w:rsid w:val="00A90EF3"/>
    <w:rsid w:val="00AA7717"/>
    <w:rsid w:val="00AB131E"/>
    <w:rsid w:val="00AB644F"/>
    <w:rsid w:val="00AB70C5"/>
    <w:rsid w:val="00AC3F5E"/>
    <w:rsid w:val="00AC5293"/>
    <w:rsid w:val="00AD37AF"/>
    <w:rsid w:val="00AE7ACF"/>
    <w:rsid w:val="00AF1ED9"/>
    <w:rsid w:val="00B06409"/>
    <w:rsid w:val="00B16C25"/>
    <w:rsid w:val="00B17D66"/>
    <w:rsid w:val="00B2080F"/>
    <w:rsid w:val="00B31FD9"/>
    <w:rsid w:val="00B35D3A"/>
    <w:rsid w:val="00B422F1"/>
    <w:rsid w:val="00B60377"/>
    <w:rsid w:val="00B71531"/>
    <w:rsid w:val="00B716CB"/>
    <w:rsid w:val="00B71F89"/>
    <w:rsid w:val="00B7456C"/>
    <w:rsid w:val="00B84131"/>
    <w:rsid w:val="00B8630E"/>
    <w:rsid w:val="00B931F4"/>
    <w:rsid w:val="00B95573"/>
    <w:rsid w:val="00B96395"/>
    <w:rsid w:val="00BA2AF8"/>
    <w:rsid w:val="00BB2650"/>
    <w:rsid w:val="00BB5BDC"/>
    <w:rsid w:val="00BB7B76"/>
    <w:rsid w:val="00BD233D"/>
    <w:rsid w:val="00BF4EF0"/>
    <w:rsid w:val="00C02E44"/>
    <w:rsid w:val="00C147D2"/>
    <w:rsid w:val="00C2075F"/>
    <w:rsid w:val="00C23799"/>
    <w:rsid w:val="00C274C9"/>
    <w:rsid w:val="00C31E02"/>
    <w:rsid w:val="00C45BC1"/>
    <w:rsid w:val="00C54291"/>
    <w:rsid w:val="00C623EC"/>
    <w:rsid w:val="00C672C3"/>
    <w:rsid w:val="00C712B2"/>
    <w:rsid w:val="00C94325"/>
    <w:rsid w:val="00C9681A"/>
    <w:rsid w:val="00C97FED"/>
    <w:rsid w:val="00CA1DBB"/>
    <w:rsid w:val="00CA2622"/>
    <w:rsid w:val="00CA7F2C"/>
    <w:rsid w:val="00CA7FF8"/>
    <w:rsid w:val="00CB5DE7"/>
    <w:rsid w:val="00CC068D"/>
    <w:rsid w:val="00CC4922"/>
    <w:rsid w:val="00CD1FF6"/>
    <w:rsid w:val="00CE25C7"/>
    <w:rsid w:val="00CE3335"/>
    <w:rsid w:val="00CE3ADC"/>
    <w:rsid w:val="00CE4849"/>
    <w:rsid w:val="00CE5C8E"/>
    <w:rsid w:val="00CE5F49"/>
    <w:rsid w:val="00D01626"/>
    <w:rsid w:val="00D13966"/>
    <w:rsid w:val="00D33A4D"/>
    <w:rsid w:val="00D33F76"/>
    <w:rsid w:val="00D41F5E"/>
    <w:rsid w:val="00D42E6E"/>
    <w:rsid w:val="00D43DC0"/>
    <w:rsid w:val="00D54E56"/>
    <w:rsid w:val="00D6407D"/>
    <w:rsid w:val="00D93E78"/>
    <w:rsid w:val="00DC6E91"/>
    <w:rsid w:val="00DC7514"/>
    <w:rsid w:val="00DD3845"/>
    <w:rsid w:val="00DD5039"/>
    <w:rsid w:val="00E1687A"/>
    <w:rsid w:val="00E20A2E"/>
    <w:rsid w:val="00E26582"/>
    <w:rsid w:val="00E277DE"/>
    <w:rsid w:val="00E27EE9"/>
    <w:rsid w:val="00E3239D"/>
    <w:rsid w:val="00E3254B"/>
    <w:rsid w:val="00E3439B"/>
    <w:rsid w:val="00E42C5F"/>
    <w:rsid w:val="00E61037"/>
    <w:rsid w:val="00E65A1B"/>
    <w:rsid w:val="00E72F1F"/>
    <w:rsid w:val="00E934AB"/>
    <w:rsid w:val="00EA06AC"/>
    <w:rsid w:val="00EA08BF"/>
    <w:rsid w:val="00EA24FB"/>
    <w:rsid w:val="00EA3F5E"/>
    <w:rsid w:val="00EB3204"/>
    <w:rsid w:val="00EB50BA"/>
    <w:rsid w:val="00EC3D33"/>
    <w:rsid w:val="00ED302A"/>
    <w:rsid w:val="00ED3A42"/>
    <w:rsid w:val="00EE02BC"/>
    <w:rsid w:val="00EE6970"/>
    <w:rsid w:val="00EF38D0"/>
    <w:rsid w:val="00EF3DDF"/>
    <w:rsid w:val="00EF4A8C"/>
    <w:rsid w:val="00F2678C"/>
    <w:rsid w:val="00F27B38"/>
    <w:rsid w:val="00F27E3D"/>
    <w:rsid w:val="00F40278"/>
    <w:rsid w:val="00F41832"/>
    <w:rsid w:val="00F51D34"/>
    <w:rsid w:val="00F56988"/>
    <w:rsid w:val="00F620FB"/>
    <w:rsid w:val="00F6571F"/>
    <w:rsid w:val="00F8687E"/>
    <w:rsid w:val="00F93331"/>
    <w:rsid w:val="00F95549"/>
    <w:rsid w:val="00FA1E24"/>
    <w:rsid w:val="00FA24FB"/>
    <w:rsid w:val="00FA632B"/>
    <w:rsid w:val="00FB38EA"/>
    <w:rsid w:val="00FB5E0F"/>
    <w:rsid w:val="00FB6AFF"/>
    <w:rsid w:val="00FC1740"/>
    <w:rsid w:val="00FC3929"/>
    <w:rsid w:val="00FC4D8F"/>
    <w:rsid w:val="00FD06D3"/>
    <w:rsid w:val="00FD7687"/>
    <w:rsid w:val="00FE3157"/>
    <w:rsid w:val="00FE6865"/>
    <w:rsid w:val="00FE6993"/>
    <w:rsid w:val="05590A06"/>
    <w:rsid w:val="0A9E2296"/>
    <w:rsid w:val="0BCD2DA8"/>
    <w:rsid w:val="0EA82861"/>
    <w:rsid w:val="10A21DB9"/>
    <w:rsid w:val="18AF0B13"/>
    <w:rsid w:val="18BC0D7D"/>
    <w:rsid w:val="1A403055"/>
    <w:rsid w:val="1C1D5B84"/>
    <w:rsid w:val="1CFD7480"/>
    <w:rsid w:val="1DE84F90"/>
    <w:rsid w:val="1EF63BE6"/>
    <w:rsid w:val="238116C7"/>
    <w:rsid w:val="25E60302"/>
    <w:rsid w:val="260375F6"/>
    <w:rsid w:val="27EE4E38"/>
    <w:rsid w:val="28136DCA"/>
    <w:rsid w:val="28606C34"/>
    <w:rsid w:val="2D5A6E03"/>
    <w:rsid w:val="2DF4184E"/>
    <w:rsid w:val="33A72FD6"/>
    <w:rsid w:val="33F660A3"/>
    <w:rsid w:val="345345E7"/>
    <w:rsid w:val="387B28E9"/>
    <w:rsid w:val="3DD21254"/>
    <w:rsid w:val="41B74E97"/>
    <w:rsid w:val="42BC196F"/>
    <w:rsid w:val="43E517F0"/>
    <w:rsid w:val="48D77474"/>
    <w:rsid w:val="49843C3D"/>
    <w:rsid w:val="4C385C44"/>
    <w:rsid w:val="4E4F0C03"/>
    <w:rsid w:val="52B6179E"/>
    <w:rsid w:val="535D4153"/>
    <w:rsid w:val="57AA7F4D"/>
    <w:rsid w:val="5D7A63E2"/>
    <w:rsid w:val="5FEE5E7A"/>
    <w:rsid w:val="615359F4"/>
    <w:rsid w:val="63012783"/>
    <w:rsid w:val="6A7C3A5A"/>
    <w:rsid w:val="73F63560"/>
    <w:rsid w:val="74C378C8"/>
    <w:rsid w:val="759E7118"/>
    <w:rsid w:val="79001624"/>
    <w:rsid w:val="7B3234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AutoShape 287"/>
        <o:r id="V:Rule2" type="connector" idref="#AutoShape 288"/>
        <o:r id="V:Rule3" type="connector" idref="#AutoShape 289"/>
        <o:r id="V:Rule4" type="connector" idref="#AutoShape 290"/>
        <o:r id="V:Rule5" type="connector" idref="#AutoShape 291"/>
        <o:r id="V:Rule6" type="connector" idref="#AutoShape 292"/>
        <o:r id="V:Rule7" type="connector" idref="#AutoShape 293"/>
        <o:r id="V:Rule8" type="connector" idref="#AutoShape 294"/>
        <o:r id="V:Rule9" type="connector" idref="#AutoShape 295"/>
        <o:r id="V:Rule10" type="connector" idref="#AutoShape 297"/>
        <o:r id="V:Rule11" type="connector" idref="#AutoShape 298"/>
        <o:r id="V:Rule12" type="connector" idref="#AutoShape 30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39"/>
    <w:qFormat/>
    <w:uiPriority w:val="9"/>
    <w:pPr>
      <w:ind w:firstLine="600" w:firstLineChars="200"/>
      <w:outlineLvl w:val="0"/>
    </w:pPr>
    <w:rPr>
      <w:rFonts w:ascii="黑体" w:hAnsi="黑体" w:eastAsia="黑体" w:cs="宋体"/>
      <w:color w:val="000000"/>
      <w:kern w:val="0"/>
      <w:sz w:val="30"/>
      <w:szCs w:val="30"/>
    </w:rPr>
  </w:style>
  <w:style w:type="paragraph" w:styleId="4">
    <w:name w:val="heading 2"/>
    <w:basedOn w:val="1"/>
    <w:next w:val="1"/>
    <w:link w:val="30"/>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41"/>
    <w:qFormat/>
    <w:uiPriority w:val="9"/>
    <w:pPr>
      <w:ind w:right="300"/>
      <w:outlineLvl w:val="2"/>
    </w:pPr>
    <w:rPr>
      <w:rFonts w:ascii="仿宋_GB2312" w:hAnsi="Calibri" w:eastAsia="仿宋_GB2312" w:cs="Times New Roman"/>
      <w:sz w:val="30"/>
      <w:szCs w:val="30"/>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 w:type="paragraph" w:styleId="6">
    <w:name w:val="Document Map"/>
    <w:basedOn w:val="1"/>
    <w:link w:val="37"/>
    <w:unhideWhenUsed/>
    <w:qFormat/>
    <w:uiPriority w:val="0"/>
    <w:rPr>
      <w:rFonts w:ascii="宋体"/>
      <w:sz w:val="18"/>
      <w:szCs w:val="18"/>
    </w:rPr>
  </w:style>
  <w:style w:type="paragraph" w:styleId="7">
    <w:name w:val="annotation text"/>
    <w:basedOn w:val="1"/>
    <w:link w:val="43"/>
    <w:unhideWhenUsed/>
    <w:qFormat/>
    <w:uiPriority w:val="99"/>
    <w:pPr>
      <w:jc w:val="left"/>
    </w:pPr>
    <w:rPr>
      <w:rFonts w:ascii="Calibri" w:hAnsi="Calibri" w:eastAsia="宋体" w:cs="Times New Roman"/>
    </w:rPr>
  </w:style>
  <w:style w:type="paragraph" w:styleId="8">
    <w:name w:val="Balloon Text"/>
    <w:basedOn w:val="1"/>
    <w:link w:val="44"/>
    <w:unhideWhenUsed/>
    <w:qFormat/>
    <w:uiPriority w:val="0"/>
    <w:rPr>
      <w:sz w:val="18"/>
      <w:szCs w:val="18"/>
    </w:rPr>
  </w:style>
  <w:style w:type="paragraph" w:styleId="9">
    <w:name w:val="footer"/>
    <w:basedOn w:val="1"/>
    <w:link w:val="29"/>
    <w:unhideWhenUsed/>
    <w:qFormat/>
    <w:uiPriority w:val="99"/>
    <w:pPr>
      <w:tabs>
        <w:tab w:val="center" w:pos="4153"/>
        <w:tab w:val="right" w:pos="8306"/>
      </w:tabs>
      <w:snapToGrid w:val="0"/>
      <w:jc w:val="left"/>
    </w:pPr>
    <w:rPr>
      <w:sz w:val="18"/>
      <w:szCs w:val="18"/>
    </w:rPr>
  </w:style>
  <w:style w:type="paragraph" w:styleId="10">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40"/>
    <w:semiHidden/>
    <w:qFormat/>
    <w:uiPriority w:val="0"/>
    <w:pPr>
      <w:snapToGrid w:val="0"/>
      <w:jc w:val="left"/>
    </w:pPr>
    <w:rPr>
      <w:rFonts w:ascii="Times New Roman" w:hAnsi="Times New Roman"/>
      <w:sz w:val="18"/>
      <w:szCs w:val="18"/>
    </w:rPr>
  </w:style>
  <w:style w:type="paragraph" w:styleId="12">
    <w:name w:val="HTML Preformatted"/>
    <w:basedOn w:val="1"/>
    <w:link w:val="3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Hyperlink"/>
    <w:basedOn w:val="16"/>
    <w:unhideWhenUsed/>
    <w:qFormat/>
    <w:uiPriority w:val="99"/>
    <w:rPr>
      <w:rFonts w:hint="default" w:ascii="ˎ̥" w:hAnsi="ˎ̥"/>
      <w:color w:val="0453CC"/>
      <w:sz w:val="20"/>
      <w:szCs w:val="20"/>
      <w:u w:val="none"/>
    </w:rPr>
  </w:style>
  <w:style w:type="character" w:styleId="18">
    <w:name w:val="annotation reference"/>
    <w:basedOn w:val="16"/>
    <w:unhideWhenUsed/>
    <w:qFormat/>
    <w:uiPriority w:val="0"/>
    <w:rPr>
      <w:sz w:val="21"/>
      <w:szCs w:val="21"/>
    </w:rPr>
  </w:style>
  <w:style w:type="character" w:styleId="19">
    <w:name w:val="footnote reference"/>
    <w:unhideWhenUsed/>
    <w:qFormat/>
    <w:uiPriority w:val="0"/>
    <w:rPr>
      <w:rFonts w:ascii="Times New Roman" w:hAnsi="Times New Roman" w:cs="Times New Roman"/>
      <w:vertAlign w:val="superscript"/>
    </w:rPr>
  </w:style>
  <w:style w:type="paragraph" w:customStyle="1" w:styleId="20">
    <w:name w:val="p0"/>
    <w:basedOn w:val="1"/>
    <w:qFormat/>
    <w:uiPriority w:val="0"/>
    <w:pPr>
      <w:widowControl/>
    </w:pPr>
    <w:rPr>
      <w:rFonts w:ascii="Calibri" w:hAnsi="Calibri" w:eastAsia="宋体" w:cs="宋体"/>
      <w:kern w:val="0"/>
      <w:szCs w:val="21"/>
    </w:rPr>
  </w:style>
  <w:style w:type="paragraph" w:customStyle="1" w:styleId="21">
    <w:name w:val="Heading 1"/>
    <w:basedOn w:val="1"/>
    <w:qFormat/>
    <w:uiPriority w:val="1"/>
    <w:pPr>
      <w:spacing w:line="541" w:lineRule="exact"/>
      <w:ind w:left="1919" w:right="2017"/>
      <w:jc w:val="center"/>
      <w:outlineLvl w:val="1"/>
    </w:pPr>
    <w:rPr>
      <w:rFonts w:ascii="Noto Sans Mono CJK JP Regular" w:hAnsi="Noto Sans Mono CJK JP Regular" w:eastAsia="Noto Sans Mono CJK JP Regular" w:cs="Noto Sans Mono CJK JP Regular"/>
      <w:sz w:val="36"/>
      <w:szCs w:val="36"/>
    </w:rPr>
  </w:style>
  <w:style w:type="paragraph" w:customStyle="1" w:styleId="22">
    <w:name w:val="列出段落3"/>
    <w:basedOn w:val="1"/>
    <w:qFormat/>
    <w:uiPriority w:val="0"/>
    <w:pPr>
      <w:ind w:firstLine="420" w:firstLineChars="200"/>
    </w:pPr>
    <w:rPr>
      <w:rFonts w:ascii="Times New Roman" w:hAnsi="Times New Roman" w:eastAsia="宋体" w:cs="Times New Roman"/>
      <w:szCs w:val="24"/>
    </w:rPr>
  </w:style>
  <w:style w:type="paragraph" w:customStyle="1" w:styleId="23">
    <w:name w:val="Revision"/>
    <w:semiHidden/>
    <w:qFormat/>
    <w:uiPriority w:val="99"/>
    <w:rPr>
      <w:rFonts w:ascii="Calibri" w:hAnsi="Calibri" w:eastAsia="宋体" w:cs="黑体"/>
      <w:kern w:val="2"/>
      <w:sz w:val="21"/>
      <w:szCs w:val="22"/>
      <w:lang w:val="en-US" w:eastAsia="zh-CN" w:bidi="ar-SA"/>
    </w:rPr>
  </w:style>
  <w:style w:type="paragraph" w:customStyle="1" w:styleId="24">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customStyle="1" w:styleId="25">
    <w:name w:val="列出段落4"/>
    <w:basedOn w:val="1"/>
    <w:qFormat/>
    <w:uiPriority w:val="0"/>
    <w:pPr>
      <w:ind w:firstLine="200" w:firstLineChars="200"/>
    </w:pPr>
    <w:rPr>
      <w:rFonts w:ascii="Calibri" w:hAnsi="Calibri" w:eastAsia="宋体" w:cs="Times New Roman"/>
    </w:rPr>
  </w:style>
  <w:style w:type="paragraph" w:customStyle="1" w:styleId="26">
    <w:name w:val="List Paragraph"/>
    <w:basedOn w:val="1"/>
    <w:qFormat/>
    <w:uiPriority w:val="34"/>
    <w:pPr>
      <w:ind w:firstLine="420" w:firstLineChars="200"/>
    </w:pPr>
  </w:style>
  <w:style w:type="paragraph" w:customStyle="1" w:styleId="27">
    <w:name w:val="列出段落1"/>
    <w:basedOn w:val="1"/>
    <w:qFormat/>
    <w:uiPriority w:val="34"/>
    <w:pPr>
      <w:ind w:firstLine="420" w:firstLineChars="200"/>
    </w:pPr>
    <w:rPr>
      <w:rFonts w:ascii="Calibri" w:hAnsi="Calibri" w:eastAsia="宋体" w:cs="Times New Roman"/>
    </w:rPr>
  </w:style>
  <w:style w:type="paragraph" w:customStyle="1" w:styleId="28">
    <w:name w:val="juzhong"/>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29">
    <w:name w:val="页脚 Char"/>
    <w:basedOn w:val="16"/>
    <w:link w:val="9"/>
    <w:qFormat/>
    <w:uiPriority w:val="99"/>
    <w:rPr>
      <w:sz w:val="18"/>
      <w:szCs w:val="18"/>
    </w:rPr>
  </w:style>
  <w:style w:type="character" w:customStyle="1" w:styleId="30">
    <w:name w:val="标题 2 Char"/>
    <w:basedOn w:val="16"/>
    <w:link w:val="4"/>
    <w:qFormat/>
    <w:uiPriority w:val="0"/>
    <w:rPr>
      <w:rFonts w:ascii="Cambria" w:hAnsi="Cambria" w:eastAsia="宋体" w:cs="Times New Roman"/>
      <w:b/>
      <w:bCs/>
      <w:sz w:val="32"/>
      <w:szCs w:val="32"/>
    </w:rPr>
  </w:style>
  <w:style w:type="character" w:customStyle="1" w:styleId="31">
    <w:name w:val="Intense Emphasis"/>
    <w:basedOn w:val="16"/>
    <w:qFormat/>
    <w:uiPriority w:val="21"/>
    <w:rPr>
      <w:b/>
      <w:bCs/>
      <w:i/>
      <w:iCs/>
      <w:color w:val="4F81BD"/>
    </w:rPr>
  </w:style>
  <w:style w:type="character" w:customStyle="1" w:styleId="32">
    <w:name w:val="标题 4 Char Char"/>
    <w:qFormat/>
    <w:uiPriority w:val="0"/>
    <w:rPr>
      <w:rFonts w:ascii="Calibri" w:hAnsi="Calibri"/>
      <w:b/>
      <w:bCs/>
      <w:sz w:val="28"/>
      <w:szCs w:val="28"/>
      <w:lang w:eastAsia="en-US" w:bidi="en-US"/>
    </w:rPr>
  </w:style>
  <w:style w:type="character" w:customStyle="1" w:styleId="33">
    <w:name w:val="脚注文本 Char"/>
    <w:basedOn w:val="16"/>
    <w:semiHidden/>
    <w:qFormat/>
    <w:uiPriority w:val="99"/>
    <w:rPr>
      <w:kern w:val="2"/>
      <w:sz w:val="18"/>
      <w:szCs w:val="18"/>
    </w:rPr>
  </w:style>
  <w:style w:type="character" w:customStyle="1" w:styleId="34">
    <w:name w:val="批注文字 Char1"/>
    <w:basedOn w:val="16"/>
    <w:semiHidden/>
    <w:qFormat/>
    <w:uiPriority w:val="99"/>
    <w:rPr>
      <w:kern w:val="2"/>
      <w:sz w:val="21"/>
      <w:szCs w:val="22"/>
    </w:rPr>
  </w:style>
  <w:style w:type="character" w:customStyle="1" w:styleId="35">
    <w:name w:val="文档结构图 Char1"/>
    <w:basedOn w:val="16"/>
    <w:semiHidden/>
    <w:qFormat/>
    <w:uiPriority w:val="99"/>
    <w:rPr>
      <w:rFonts w:ascii="宋体" w:eastAsia="宋体"/>
      <w:sz w:val="18"/>
      <w:szCs w:val="18"/>
    </w:rPr>
  </w:style>
  <w:style w:type="character" w:customStyle="1" w:styleId="36">
    <w:name w:val="HTML 预设格式 Char"/>
    <w:basedOn w:val="16"/>
    <w:link w:val="12"/>
    <w:qFormat/>
    <w:uiPriority w:val="99"/>
    <w:rPr>
      <w:rFonts w:ascii="宋体" w:hAnsi="宋体" w:eastAsia="宋体" w:cs="宋体"/>
      <w:kern w:val="0"/>
      <w:sz w:val="24"/>
      <w:szCs w:val="24"/>
    </w:rPr>
  </w:style>
  <w:style w:type="character" w:customStyle="1" w:styleId="37">
    <w:name w:val="文档结构图 Char"/>
    <w:basedOn w:val="16"/>
    <w:link w:val="6"/>
    <w:qFormat/>
    <w:uiPriority w:val="0"/>
    <w:rPr>
      <w:rFonts w:ascii="宋体"/>
      <w:sz w:val="18"/>
      <w:szCs w:val="18"/>
    </w:rPr>
  </w:style>
  <w:style w:type="character" w:customStyle="1" w:styleId="38">
    <w:name w:val="脚注文本 Char2"/>
    <w:basedOn w:val="16"/>
    <w:semiHidden/>
    <w:qFormat/>
    <w:uiPriority w:val="99"/>
    <w:rPr>
      <w:sz w:val="18"/>
      <w:szCs w:val="18"/>
    </w:rPr>
  </w:style>
  <w:style w:type="character" w:customStyle="1" w:styleId="39">
    <w:name w:val="标题 1 Char"/>
    <w:basedOn w:val="16"/>
    <w:link w:val="3"/>
    <w:qFormat/>
    <w:uiPriority w:val="9"/>
    <w:rPr>
      <w:rFonts w:ascii="黑体" w:hAnsi="黑体" w:eastAsia="黑体" w:cs="宋体"/>
      <w:color w:val="000000"/>
      <w:kern w:val="0"/>
      <w:sz w:val="30"/>
      <w:szCs w:val="30"/>
    </w:rPr>
  </w:style>
  <w:style w:type="character" w:customStyle="1" w:styleId="40">
    <w:name w:val="脚注文本 Char1"/>
    <w:basedOn w:val="16"/>
    <w:link w:val="11"/>
    <w:semiHidden/>
    <w:qFormat/>
    <w:uiPriority w:val="0"/>
    <w:rPr>
      <w:rFonts w:ascii="Times New Roman" w:hAnsi="Times New Roman"/>
      <w:sz w:val="18"/>
      <w:szCs w:val="18"/>
    </w:rPr>
  </w:style>
  <w:style w:type="character" w:customStyle="1" w:styleId="41">
    <w:name w:val="标题 3 Char"/>
    <w:basedOn w:val="16"/>
    <w:link w:val="5"/>
    <w:qFormat/>
    <w:uiPriority w:val="9"/>
    <w:rPr>
      <w:rFonts w:ascii="仿宋_GB2312" w:hAnsi="Calibri" w:eastAsia="仿宋_GB2312" w:cs="Times New Roman"/>
      <w:sz w:val="30"/>
      <w:szCs w:val="30"/>
    </w:rPr>
  </w:style>
  <w:style w:type="character" w:customStyle="1" w:styleId="42">
    <w:name w:val="页眉 Char"/>
    <w:basedOn w:val="16"/>
    <w:link w:val="10"/>
    <w:qFormat/>
    <w:uiPriority w:val="99"/>
    <w:rPr>
      <w:sz w:val="18"/>
      <w:szCs w:val="18"/>
    </w:rPr>
  </w:style>
  <w:style w:type="character" w:customStyle="1" w:styleId="43">
    <w:name w:val="批注文字 Char"/>
    <w:basedOn w:val="16"/>
    <w:link w:val="7"/>
    <w:semiHidden/>
    <w:qFormat/>
    <w:uiPriority w:val="0"/>
    <w:rPr>
      <w:rFonts w:ascii="Calibri" w:hAnsi="Calibri" w:eastAsia="宋体" w:cs="Times New Roman"/>
    </w:rPr>
  </w:style>
  <w:style w:type="character" w:customStyle="1" w:styleId="44">
    <w:name w:val="批注框文本 Char"/>
    <w:basedOn w:val="16"/>
    <w:link w:val="8"/>
    <w:semiHidden/>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Info spid="_x0000_s2049" textRotate="1"/>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3520</Words>
  <Characters>3715</Characters>
  <Lines>19</Lines>
  <Paragraphs>5</Paragraphs>
  <TotalTime>0</TotalTime>
  <ScaleCrop>false</ScaleCrop>
  <LinksUpToDate>false</LinksUpToDate>
  <CharactersWithSpaces>3739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2020-02-26T11:29:00Z</dcterms:created>
  <dc:creator>裴建君2</dc:creator>
  <cp:lastModifiedBy>丁蒙/办公室/南宁/PBC</cp:lastModifiedBy>
  <cp:lastPrinted>2017-12-26T09:10:00Z</cp:lastPrinted>
  <dcterms:modified xsi:type="dcterms:W3CDTF">2023-08-30T09:48:21Z</dcterms:modified>
  <dc:title>编号：57014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1C88E9F5D14149D39ADC1267DADD61FE_12</vt:lpwstr>
  </property>
</Properties>
</file>