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编号：</w:t>
      </w:r>
      <w:r>
        <w:rPr>
          <w:rFonts w:hint="eastAsia" w:ascii="Times New Roman" w:hAnsi="Times New Roman" w:eastAsia="黑体" w:cs="Times New Roman"/>
          <w:color w:val="auto"/>
          <w:sz w:val="30"/>
          <w:szCs w:val="30"/>
        </w:rPr>
        <w:t xml:space="preserve">000171106002             </w:t>
      </w: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hint="eastAsia" w:ascii="Times New Roman" w:hAnsi="Times New Roman" w:eastAsia="黑体" w:cs="Times New Roman"/>
          <w:color w:val="auto"/>
          <w:kern w:val="2"/>
          <w:sz w:val="52"/>
          <w:szCs w:val="52"/>
          <w:lang w:val="en-US" w:eastAsia="zh-CN" w:bidi="ar-SA"/>
        </w:rPr>
      </w:pPr>
      <w:r>
        <w:rPr>
          <w:rFonts w:hint="eastAsia" w:ascii="Times New Roman" w:hAnsi="Times New Roman" w:eastAsia="黑体" w:cs="Times New Roman"/>
          <w:color w:val="auto"/>
          <w:kern w:val="2"/>
          <w:sz w:val="52"/>
          <w:szCs w:val="52"/>
          <w:lang w:val="en-US" w:eastAsia="zh-CN" w:bidi="ar-SA"/>
        </w:rPr>
        <w:t>“分局办理的个人携带规定金额以上外币现钞出境核准”行政审批服务指南</w:t>
      </w: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ind w:right="300"/>
        <w:jc w:val="center"/>
        <w:rPr>
          <w:rFonts w:hint="eastAsia" w:ascii="Times New Roman" w:hAnsi="Times New Roman" w:eastAsia="黑体" w:cs="Times New Roman"/>
          <w:color w:val="auto"/>
          <w:kern w:val="2"/>
          <w:sz w:val="52"/>
          <w:szCs w:val="52"/>
          <w:lang w:val="en-US" w:eastAsia="zh-CN" w:bidi="ar-SA"/>
        </w:rPr>
      </w:pP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27"/>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hint="eastAsia" w:ascii="Times New Roman" w:hAnsi="Times New Roman" w:eastAsia="黑体" w:cs="Times New Roman"/>
          <w:color w:val="auto"/>
          <w:kern w:val="2"/>
          <w:sz w:val="52"/>
          <w:szCs w:val="52"/>
          <w:lang w:val="en-US" w:eastAsia="zh-CN" w:bidi="ar-SA"/>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adjustRightInd w:val="0"/>
        <w:snapToGrid w:val="0"/>
        <w:spacing w:line="360" w:lineRule="auto"/>
        <w:ind w:firstLine="600" w:firstLineChars="200"/>
        <w:jc w:val="left"/>
        <w:rPr>
          <w:rFonts w:ascii="Times New Roman" w:hAnsi="Times New Roman" w:eastAsia="黑体" w:cs="Times New Roman"/>
          <w:color w:val="auto"/>
          <w:sz w:val="30"/>
          <w:szCs w:val="30"/>
        </w:rPr>
      </w:pPr>
    </w:p>
    <w:p>
      <w:pPr>
        <w:adjustRightInd w:val="0"/>
        <w:snapToGrid w:val="0"/>
        <w:spacing w:line="360" w:lineRule="auto"/>
        <w:ind w:firstLine="600" w:firstLineChars="200"/>
        <w:jc w:val="lef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一、项目信息</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行政许可事项名称及编码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外币现钞提取、出境携带、跨境调运核准【00017110600Y】</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行政许可事项子项名称及编码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分局办理的个人携带规定金额以上外币现钞出境核准【000171106002】</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行政许可事项业务办理项名称及编码</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分局办理的个人携带规定金额以上外币现钞出境核准新办(00017110600201)</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分局办理的个人携带规定金额以上外币现钞出境核准补办(00017110600202)</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eastAsia" w:ascii="Times New Roman" w:hAnsi="Times New Roman" w:eastAsia="仿宋_GB2312" w:cs="Times New Roman"/>
          <w:color w:val="auto"/>
          <w:sz w:val="30"/>
          <w:szCs w:val="30"/>
        </w:rPr>
        <w:t>个人携带规定金额以上外币现钞出境</w:t>
      </w:r>
      <w:r>
        <w:rPr>
          <w:rFonts w:ascii="Times New Roman" w:hAnsi="Times New Roman" w:eastAsia="仿宋_GB2312" w:cs="Times New Roman"/>
          <w:color w:val="auto"/>
          <w:sz w:val="30"/>
          <w:szCs w:val="30"/>
        </w:rPr>
        <w:t>”的申请和办理。</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（一）《中华人民共和国外汇管理条例》（国务院令第532号）第十五条</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（二）《国务院对确需保留的行政审批项目设定行政许可的决定》（国务院令第412号）附件第4</w:t>
      </w:r>
      <w:r>
        <w:rPr>
          <w:rFonts w:hint="eastAsia" w:ascii="Times New Roman" w:hAnsi="Times New Roman" w:eastAsia="仿宋_GB2312" w:cs="Times New Roman"/>
          <w:color w:val="auto"/>
          <w:sz w:val="30"/>
          <w:szCs w:val="30"/>
          <w:lang w:val="en-US" w:eastAsia="zh-CN"/>
        </w:rPr>
        <w:t>86</w:t>
      </w:r>
      <w:r>
        <w:rPr>
          <w:rFonts w:ascii="Times New Roman" w:hAnsi="Times New Roman" w:eastAsia="仿宋_GB2312" w:cs="Times New Roman"/>
          <w:color w:val="auto"/>
          <w:sz w:val="30"/>
          <w:szCs w:val="30"/>
        </w:rPr>
        <w:t>项。</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）《个人外汇管理办法》（中国人民银行令2006年第3号）第三十三条</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）《经常项目外汇业务指引（2020年版）》（汇发〔2020〕14号文印发）第八十九条</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）《携带外币现钞出入境管理暂行办法》（汇发〔2003〕102号文印发）第二条</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lang w:eastAsia="zh-CN"/>
        </w:rPr>
        <w:t>四</w:t>
      </w:r>
      <w:r>
        <w:rPr>
          <w:rFonts w:hint="eastAsia" w:ascii="Times New Roman" w:hAnsi="Times New Roman" w:eastAsia="仿宋_GB2312" w:cs="Times New Roman"/>
          <w:color w:val="auto"/>
          <w:sz w:val="30"/>
          <w:szCs w:val="30"/>
        </w:rPr>
        <w:t>）《国家外汇管理局行政许可实施办法》（国家外汇管理局公告2021年第1号）全文</w:t>
      </w:r>
      <w:r>
        <w:rPr>
          <w:rFonts w:ascii="Times New Roman" w:hAnsi="Times New Roman" w:eastAsia="仿宋_GB2312" w:cs="Times New Roman"/>
          <w:color w:val="auto"/>
          <w:sz w:val="30"/>
          <w:szCs w:val="30"/>
        </w:rPr>
        <w:t>。</w:t>
      </w:r>
    </w:p>
    <w:p>
      <w:pPr>
        <w:adjustRightInd w:val="0"/>
        <w:snapToGrid w:val="0"/>
        <w:spacing w:line="360" w:lineRule="auto"/>
        <w:ind w:firstLine="600" w:firstLineChars="200"/>
        <w:rPr>
          <w:rFonts w:hint="eastAsia" w:ascii="Times New Roman" w:hAnsi="Times New Roman" w:eastAsia="黑体" w:cs="Times New Roman"/>
          <w:color w:val="auto"/>
          <w:sz w:val="30"/>
          <w:szCs w:val="30"/>
          <w:lang w:eastAsia="zh-CN"/>
        </w:rPr>
      </w:pPr>
      <w:r>
        <w:rPr>
          <w:rFonts w:hint="eastAsia" w:ascii="Times New Roman" w:hAnsi="Times New Roman" w:eastAsia="黑体" w:cs="Times New Roman"/>
          <w:color w:val="auto"/>
          <w:sz w:val="30"/>
          <w:szCs w:val="30"/>
          <w:lang w:eastAsia="zh-CN"/>
        </w:rPr>
        <w:t>五、监管依据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《中华人民共和国外汇管理条例》</w:t>
      </w:r>
      <w:r>
        <w:rPr>
          <w:rFonts w:ascii="Times New Roman" w:hAnsi="Times New Roman" w:eastAsia="仿宋_GB2312" w:cs="Times New Roman"/>
          <w:color w:val="auto"/>
          <w:sz w:val="30"/>
          <w:szCs w:val="30"/>
        </w:rPr>
        <w:t>（国务院令第532号）</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受理机构</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仿宋_GB2312" w:cs="Times New Roman"/>
          <w:color w:val="auto"/>
          <w:sz w:val="30"/>
          <w:szCs w:val="30"/>
        </w:rPr>
        <w:t>申请人存款或购汇银行所在地国家外汇管理局分局。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决定机构</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申请人存款或购汇银行所在地国家外汇管理局分局。</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八、</w:t>
      </w:r>
      <w:r>
        <w:rPr>
          <w:rFonts w:ascii="Times New Roman" w:hAnsi="Times New Roman" w:eastAsia="黑体" w:cs="Times New Roman"/>
          <w:color w:val="auto"/>
          <w:sz w:val="30"/>
          <w:szCs w:val="30"/>
        </w:rPr>
        <w:t>办事条件</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准予行政许可的条件</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分局办理的个人携带规定金额以上外币现钞核准新办</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个人赴战乱、外汇管制严格、金融条件差或金融动乱的国家（地区），确有需要携带超过等值1万美元外币现钞出境的。</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分局办理的个人携带规定金额以上外币现钞核准补办</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《携带外汇出境许可证》遗失或《携带外汇出境许可证》逾期。</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规定行政许可条件的依据</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分局办理的个人携带规定金额以上外币现钞核准新办</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经常项目外汇业务指引（2020年版）》（汇发〔2020〕14号文印发）第八十九条……个人赴战乱、外汇管制严格、金融条件差或金融动乱的国家（地区），确有需要携带超过等值1万美元外币现钞出境的，需向存款或购汇银行所在地外汇局申领《携带外汇出境许可证》。……。</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分局办理的个人携带规定金额以上外币现钞核准补办</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经常项目外汇业务指引（2020年版）》（汇发〔2020〕14号文印发）第八十九条……个人遗失或逾期补办《携带外汇出境许可证》的，按照“谁签发、谁补办”原则，在出境前持补办申请向原签发银行或外汇局提出申请。……。</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九、</w:t>
      </w:r>
      <w:r>
        <w:rPr>
          <w:rFonts w:ascii="Times New Roman" w:hAnsi="Times New Roman" w:eastAsia="黑体" w:cs="Times New Roman"/>
          <w:color w:val="auto"/>
          <w:sz w:val="30"/>
          <w:szCs w:val="30"/>
        </w:rPr>
        <w:t>申请材料</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申请材料名称</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分局办理的个人携带规定金额以上外币现钞核准新办</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书面申请原件1份。</w:t>
      </w:r>
      <w:r>
        <w:rPr>
          <w:rFonts w:hint="eastAsia" w:ascii="Times New Roman" w:hAnsi="Times New Roman" w:eastAsia="仿宋_GB2312" w:cs="Times New Roman"/>
          <w:color w:val="auto"/>
          <w:sz w:val="30"/>
          <w:szCs w:val="30"/>
        </w:rPr>
        <w:tab/>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加盖签章的护照等相关出境证件复印件1份（验原件，留存复印件）。</w:t>
      </w:r>
      <w:r>
        <w:rPr>
          <w:rFonts w:hint="eastAsia" w:ascii="Times New Roman" w:hAnsi="Times New Roman" w:eastAsia="仿宋_GB2312" w:cs="Times New Roman"/>
          <w:color w:val="auto"/>
          <w:sz w:val="30"/>
          <w:szCs w:val="30"/>
        </w:rPr>
        <w:tab/>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加盖签章的有效签证或签注（实行免签或落地签的国家和地区不提供）复印件1份。</w:t>
      </w:r>
      <w:r>
        <w:rPr>
          <w:rFonts w:hint="eastAsia" w:ascii="Times New Roman" w:hAnsi="Times New Roman" w:eastAsia="仿宋_GB2312" w:cs="Times New Roman"/>
          <w:color w:val="auto"/>
          <w:sz w:val="30"/>
          <w:szCs w:val="30"/>
        </w:rPr>
        <w:tab/>
      </w:r>
      <w:r>
        <w:rPr>
          <w:rFonts w:hint="eastAsia" w:ascii="Times New Roman" w:hAnsi="Times New Roman" w:eastAsia="仿宋_GB2312" w:cs="Times New Roman"/>
          <w:color w:val="auto"/>
          <w:sz w:val="30"/>
          <w:szCs w:val="30"/>
        </w:rPr>
        <w:tab/>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加盖签章的存款证明（利息清单或取款凭条）或相关购汇凭证或入境申报外币现钞数额的海关申报单等现钞来源证明复印件1份</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ab/>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5</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加盖签章的确需携带超过等值1万美元外币现钞出境的证明材料复印件1份。</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分局办理的个人携带规定金额以上外币现钞核准补办</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rPr>
        <w:t>补办申请原件1份。</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规定申请材料的依据</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分局办理的个人携带规定金额以上外币现钞核准新办</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携带外币现钞出入境管理操作规程》（汇发〔2004〕21号文印发）携带外币现钞出境携带总金额超过等值10000美元的，审核材料：1、书面申请；2、护照或往来港澳通行证、往来台湾通行证；3、有效签证或签注；4、存款证明（利息清单或取款凭条）或相关购汇凭证；5、确需携带超过等值10000美元外币现钞出境的证明材料。</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分局</w:t>
      </w:r>
      <w:bookmarkStart w:id="0" w:name="_GoBack"/>
      <w:bookmarkEnd w:id="0"/>
      <w:r>
        <w:rPr>
          <w:rFonts w:hint="eastAsia" w:ascii="Times New Roman" w:hAnsi="Times New Roman" w:eastAsia="仿宋_GB2312" w:cs="Times New Roman"/>
          <w:color w:val="auto"/>
          <w:sz w:val="30"/>
          <w:szCs w:val="30"/>
        </w:rPr>
        <w:t>办理的个人携带规定金额以上外币现钞核准补办</w:t>
      </w:r>
    </w:p>
    <w:p>
      <w:pPr>
        <w:adjustRightInd w:val="0"/>
        <w:snapToGrid w:val="0"/>
        <w:spacing w:line="360" w:lineRule="auto"/>
        <w:ind w:firstLine="600"/>
        <w:jc w:val="left"/>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经常项目外汇业务指引（2020年版）》（汇发〔2020〕14号文印发）第八十九条……个人遗失或逾期补办《携带外汇出境许可证》的，按照“谁签发、谁补办”原则，在出境前持补办申请向原签发银行或外汇局提出申请。……。</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w:t>
      </w:r>
      <w:r>
        <w:rPr>
          <w:rFonts w:ascii="Times New Roman" w:hAnsi="Times New Roman" w:eastAsia="黑体" w:cs="Times New Roman"/>
          <w:color w:val="auto"/>
          <w:sz w:val="30"/>
          <w:szCs w:val="30"/>
        </w:rPr>
        <w:t>申请接受</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申请人可通过国家外汇管理局分局提交材料。</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十一、</w:t>
      </w:r>
      <w:r>
        <w:rPr>
          <w:rFonts w:ascii="Times New Roman" w:hAnsi="Times New Roman" w:eastAsia="黑体" w:cs="Times New Roman"/>
          <w:color w:val="auto"/>
          <w:sz w:val="30"/>
          <w:szCs w:val="30"/>
        </w:rPr>
        <w:t>基本办理流程</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办理行政许可的程序环节</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申请人申请；</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审批机构受理/不予受理；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rPr>
        <w:t>审批机构审查；</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rPr>
        <w:t>决定作出许可决定书/不予许可决定书。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规定行政许可程序的依据</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《国家外汇管理局行政许可实施办法》（国家外汇管理局公告2021年第1号）第十条外汇局收到行政许可申请后，应区分下列情况分别作出处理：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申请事项属于本局职责范围，但依法不需要取得行政许可的，应即时告知申请人不受理，出具不予受理行政许可通知书；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申请事项不属于本局职责范围，应即时作出不予受理的决定，出具不予受理行政许可通知书，并告知申请人向有关行政机关申请；</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3.</w:t>
      </w:r>
      <w:r>
        <w:rPr>
          <w:rFonts w:hint="eastAsia" w:ascii="Times New Roman" w:hAnsi="Times New Roman" w:eastAsia="仿宋_GB2312" w:cs="Times New Roman"/>
          <w:color w:val="auto"/>
          <w:sz w:val="30"/>
          <w:szCs w:val="30"/>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申请人拒不补正，或者自补正告知书送达之日起30日内未能提交全部且符合法定形式的补正材料的，应不予受理，出具不予受理行政许可通知书；申请材料存在文字笔误等可当场更正的错误的，应允许申请人当场更正，并告知其在修改处签字或盖章确认；</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4.</w:t>
      </w:r>
      <w:r>
        <w:rPr>
          <w:rFonts w:hint="eastAsia" w:ascii="Times New Roman" w:hAnsi="Times New Roman" w:eastAsia="仿宋_GB2312" w:cs="Times New Roman"/>
          <w:color w:val="auto"/>
          <w:sz w:val="30"/>
          <w:szCs w:val="30"/>
        </w:rPr>
        <w:t>申请事项属于本局职责范围，申请材料齐全、符合法定形式，或者申请人按照要求提交全部补正申请材料的，应受理行政许可申请，出具行政许可受理通知书。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《国家外汇管理局行政许可实施办法》（国家外汇管理局公告2021年第1号）第十四条外汇局对行政许可申请审查后，应区分下列情况分别作出处理：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申请符合法定条件、拟准予行政许可的，应出具准予行政许可的书面决定。准予行政许可的书面决定应载明名称、出具单位、被许可人姓名或名称、行政许可事项、颁发日期、有效期（如有）等；</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申请不符合法定条件、拟不予行政许可的，应出具不予行政许可决定书，并说明不予行政许可的理由，告知申请人享有依法申请行政复议的权利</w:t>
      </w:r>
      <w:r>
        <w:rPr>
          <w:rFonts w:ascii="Times New Roman" w:hAnsi="Times New Roman" w:eastAsia="仿宋_GB2312" w:cs="Times New Roman"/>
          <w:color w:val="auto"/>
          <w:sz w:val="30"/>
          <w:szCs w:val="30"/>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十二、</w:t>
      </w:r>
      <w:r>
        <w:rPr>
          <w:rFonts w:ascii="Times New Roman" w:hAnsi="Times New Roman" w:eastAsia="黑体" w:cs="Times New Roman"/>
          <w:color w:val="auto"/>
          <w:sz w:val="30"/>
          <w:szCs w:val="30"/>
        </w:rPr>
        <w:t>办理方式</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当场办理：申请、受理、审查、决定、出具《携带外汇出境许可证》或不予批准的行政许可书面决定。</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三、</w:t>
      </w:r>
      <w:r>
        <w:rPr>
          <w:rFonts w:ascii="Times New Roman" w:hAnsi="Times New Roman" w:eastAsia="黑体" w:cs="Times New Roman"/>
          <w:color w:val="auto"/>
          <w:sz w:val="30"/>
          <w:szCs w:val="30"/>
        </w:rPr>
        <w:t>审批时限</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承诺受理时限：5个工作日</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法定审批时限：20个工作日</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规定法定审批时限依据</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《国家外汇管理局行政许可实施办法》（国家外汇管理局公告2021年第1号）第十五条外汇局应根据以下要求确保行政许可依法按时完成：</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能当场作出决定的，应当场作出行政许可决定。当场作出行政许可决定的，可不出具行政许可受理通知书；</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rPr>
        <w:t>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外汇局征求其他部门意见的时间计算在以上办理时限内；依法需要听证、检验、检测、鉴定、专家评审等的时间，不计算在上述办理时限内。</w:t>
      </w:r>
    </w:p>
    <w:p>
      <w:pPr>
        <w:adjustRightInd w:val="0"/>
        <w:snapToGrid w:val="0"/>
        <w:spacing w:line="360" w:lineRule="auto"/>
        <w:ind w:firstLine="585"/>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（四）</w:t>
      </w:r>
      <w:r>
        <w:rPr>
          <w:rFonts w:hint="eastAsia" w:ascii="Times New Roman" w:hAnsi="Times New Roman" w:eastAsia="仿宋_GB2312" w:cs="Times New Roman"/>
          <w:color w:val="auto"/>
          <w:sz w:val="30"/>
          <w:szCs w:val="30"/>
        </w:rPr>
        <w:t>承诺审批时限：20个工作日</w:t>
      </w:r>
      <w:r>
        <w:rPr>
          <w:rFonts w:ascii="Times New Roman" w:hAnsi="Times New Roman" w:eastAsia="仿宋_GB2312" w:cs="Times New Roman"/>
          <w:color w:val="auto"/>
          <w:sz w:val="30"/>
          <w:szCs w:val="30"/>
        </w:rPr>
        <w:t>。</w:t>
      </w:r>
    </w:p>
    <w:p>
      <w:pPr>
        <w:adjustRightInd w:val="0"/>
        <w:snapToGri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四、</w:t>
      </w:r>
      <w:r>
        <w:rPr>
          <w:rFonts w:ascii="Times New Roman" w:hAnsi="Times New Roman" w:eastAsia="黑体" w:cs="Times New Roman"/>
          <w:color w:val="auto"/>
          <w:sz w:val="30"/>
          <w:szCs w:val="30"/>
        </w:rPr>
        <w:t>审批收费依据及标准</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不收费。</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十五、</w:t>
      </w:r>
      <w:r>
        <w:rPr>
          <w:rFonts w:ascii="Times New Roman" w:hAnsi="Times New Roman" w:eastAsia="黑体" w:cs="Times New Roman"/>
          <w:color w:val="auto"/>
          <w:sz w:val="30"/>
          <w:szCs w:val="30"/>
        </w:rPr>
        <w:t>审批结果</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《携带外汇出境许可证》（一人一证）。</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结果送达</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通过现场领取或邮寄等方式将结果送达</w:t>
      </w:r>
      <w:r>
        <w:rPr>
          <w:rFonts w:ascii="Times New Roman" w:hAnsi="Times New Roman" w:eastAsia="仿宋_GB2312" w:cs="Times New Roman"/>
          <w:color w:val="auto"/>
          <w:sz w:val="30"/>
          <w:szCs w:val="30"/>
        </w:rPr>
        <w:t>。</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申请人权利和义务</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八、</w:t>
      </w:r>
      <w:r>
        <w:rPr>
          <w:rFonts w:ascii="Times New Roman" w:hAnsi="Times New Roman" w:eastAsia="黑体" w:cs="Times New Roman"/>
          <w:color w:val="auto"/>
          <w:sz w:val="30"/>
          <w:szCs w:val="30"/>
        </w:rPr>
        <w:t>咨询途径、监督和投诉、公开查询等由所在地分局办理</w:t>
      </w:r>
    </w:p>
    <w:p>
      <w:pPr>
        <w:adjustRightInd w:val="0"/>
        <w:snapToGrid w:val="0"/>
        <w:spacing w:line="360" w:lineRule="auto"/>
        <w:ind w:firstLine="601"/>
        <w:rPr>
          <w:rFonts w:hint="eastAsia" w:ascii="Times New Roman" w:hAnsi="Times New Roman" w:eastAsia="仿宋_GB2312" w:cs="Times New Roman"/>
          <w:b/>
          <w:bCs/>
          <w:color w:val="auto"/>
          <w:sz w:val="30"/>
          <w:szCs w:val="30"/>
          <w:lang w:val="en-US" w:eastAsia="zh-CN"/>
        </w:rPr>
      </w:pPr>
      <w:r>
        <w:rPr>
          <w:rFonts w:hint="eastAsia" w:ascii="Times New Roman" w:hAnsi="Times New Roman" w:eastAsia="仿宋_GB2312" w:cs="Times New Roman"/>
          <w:b/>
          <w:bCs/>
          <w:color w:val="auto"/>
          <w:sz w:val="30"/>
          <w:szCs w:val="30"/>
          <w:lang w:val="en-US" w:eastAsia="zh-CN"/>
        </w:rPr>
        <w:t>国家外汇管理局广西壮族自治区分局：</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（一）咨询途径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现场咨询：广西南宁市青秀区滨湖路58号中国人民银行广西壮族自治区分行七楼704室。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电话咨询：0771-6111312</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eastAsia="zh-CN"/>
        </w:rPr>
      </w:pPr>
      <w:r>
        <w:rPr>
          <w:rFonts w:hint="eastAsia" w:ascii="Times New Roman" w:hAnsi="Times New Roman" w:eastAsia="仿宋_GB2312" w:cs="Times New Roman"/>
          <w:b w:val="0"/>
          <w:bCs w:val="0"/>
          <w:color w:val="auto"/>
          <w:sz w:val="30"/>
          <w:szCs w:val="30"/>
          <w:lang w:val="en-US" w:eastAsia="zh-CN"/>
        </w:rPr>
        <w:t>网站咨询：</w:t>
      </w:r>
      <w:r>
        <w:rPr>
          <w:rFonts w:hint="eastAsia" w:ascii="Times New Roman" w:hAnsi="Times New Roman" w:eastAsia="仿宋_GB2312" w:cs="Times New Roman"/>
          <w:b w:val="0"/>
          <w:bCs w:val="0"/>
          <w:color w:val="auto"/>
          <w:sz w:val="30"/>
          <w:szCs w:val="30"/>
          <w:lang w:eastAsia="zh-CN"/>
        </w:rPr>
        <w:t>国家外汇管理局广西壮族自治区分局官方网站（www.safe.gov.cn</w:t>
      </w:r>
      <w:r>
        <w:rPr>
          <w:rFonts w:hint="eastAsia" w:ascii="Times New Roman" w:hAnsi="Times New Roman" w:eastAsia="仿宋_GB2312" w:cs="Times New Roman"/>
          <w:b w:val="0"/>
          <w:bCs w:val="0"/>
          <w:color w:val="auto"/>
          <w:sz w:val="30"/>
          <w:szCs w:val="30"/>
          <w:lang w:val="en-US" w:eastAsia="zh-CN"/>
        </w:rPr>
        <w:t>/guangxi/）</w:t>
      </w:r>
      <w:r>
        <w:rPr>
          <w:rFonts w:hint="eastAsia" w:ascii="Times New Roman" w:hAnsi="Times New Roman" w:eastAsia="仿宋_GB2312" w:cs="Times New Roman"/>
          <w:b w:val="0"/>
          <w:bCs w:val="0"/>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（2）监督和投诉途径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eastAsia="zh-CN"/>
        </w:rPr>
      </w:pPr>
      <w:r>
        <w:rPr>
          <w:rFonts w:hint="eastAsia" w:ascii="Times New Roman" w:hAnsi="Times New Roman" w:eastAsia="仿宋_GB2312" w:cs="Times New Roman"/>
          <w:b w:val="0"/>
          <w:bCs w:val="0"/>
          <w:color w:val="auto"/>
          <w:sz w:val="30"/>
          <w:szCs w:val="30"/>
          <w:lang w:val="en-US" w:eastAsia="zh-CN"/>
        </w:rPr>
        <w:t>网站投诉：</w:t>
      </w:r>
      <w:r>
        <w:rPr>
          <w:rFonts w:hint="eastAsia" w:ascii="Times New Roman" w:hAnsi="Times New Roman" w:eastAsia="仿宋_GB2312" w:cs="Times New Roman"/>
          <w:b w:val="0"/>
          <w:bCs w:val="0"/>
          <w:color w:val="auto"/>
          <w:sz w:val="30"/>
          <w:szCs w:val="30"/>
          <w:lang w:eastAsia="zh-CN"/>
        </w:rPr>
        <w:t>国家外汇管理局广西壮族自治区分局官方网站（www.safe.gov.cn</w:t>
      </w:r>
      <w:r>
        <w:rPr>
          <w:rFonts w:hint="eastAsia" w:ascii="Times New Roman" w:hAnsi="Times New Roman" w:eastAsia="仿宋_GB2312" w:cs="Times New Roman"/>
          <w:b w:val="0"/>
          <w:bCs w:val="0"/>
          <w:color w:val="auto"/>
          <w:sz w:val="30"/>
          <w:szCs w:val="30"/>
          <w:lang w:val="en-US" w:eastAsia="zh-CN"/>
        </w:rPr>
        <w:t>/guangxi/）</w:t>
      </w:r>
      <w:r>
        <w:rPr>
          <w:rFonts w:hint="eastAsia" w:ascii="Times New Roman" w:hAnsi="Times New Roman" w:eastAsia="仿宋_GB2312" w:cs="Times New Roman"/>
          <w:b w:val="0"/>
          <w:bCs w:val="0"/>
          <w:color w:val="auto"/>
          <w:sz w:val="30"/>
          <w:szCs w:val="30"/>
          <w:lang w:eastAsia="zh-CN"/>
        </w:rPr>
        <w:t>咨询反馈栏目。</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（3）</w:t>
      </w:r>
      <w:r>
        <w:rPr>
          <w:rFonts w:hint="eastAsia" w:ascii="Times New Roman" w:hAnsi="Times New Roman" w:eastAsia="仿宋_GB2312" w:cs="Times New Roman"/>
          <w:b w:val="0"/>
          <w:bCs w:val="0"/>
          <w:color w:val="auto"/>
          <w:sz w:val="30"/>
          <w:szCs w:val="30"/>
          <w:lang w:eastAsia="zh-CN"/>
        </w:rPr>
        <w:t>公开</w:t>
      </w:r>
      <w:r>
        <w:rPr>
          <w:rFonts w:hint="eastAsia" w:ascii="Times New Roman" w:hAnsi="Times New Roman" w:eastAsia="仿宋_GB2312" w:cs="Times New Roman"/>
          <w:b w:val="0"/>
          <w:bCs w:val="0"/>
          <w:color w:val="auto"/>
          <w:sz w:val="30"/>
          <w:szCs w:val="30"/>
        </w:rPr>
        <w:t>查询</w:t>
      </w:r>
      <w:r>
        <w:rPr>
          <w:rFonts w:hint="eastAsia" w:ascii="Times New Roman" w:hAnsi="Times New Roman" w:eastAsia="仿宋_GB2312" w:cs="Times New Roman"/>
          <w:b w:val="0"/>
          <w:bCs w:val="0"/>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现场查询：广西南宁市青秀区滨湖路58号中国人民银行广西壮族自治区分行七楼704室。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电话查询：0771-6111312</w:t>
      </w:r>
    </w:p>
    <w:p>
      <w:pPr>
        <w:adjustRightInd w:val="0"/>
        <w:snapToGrid w:val="0"/>
        <w:spacing w:line="360" w:lineRule="auto"/>
        <w:ind w:firstLine="6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九、</w:t>
      </w:r>
      <w:r>
        <w:rPr>
          <w:rFonts w:ascii="Times New Roman" w:hAnsi="Times New Roman" w:eastAsia="黑体" w:cs="Times New Roman"/>
          <w:color w:val="auto"/>
          <w:sz w:val="30"/>
          <w:szCs w:val="30"/>
        </w:rPr>
        <w:t>事项审查类型</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前审后批。</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w:t>
      </w: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lang w:eastAsia="zh-CN"/>
        </w:rPr>
        <w:t>、</w:t>
      </w:r>
      <w:r>
        <w:rPr>
          <w:rFonts w:ascii="Times New Roman" w:hAnsi="Times New Roman" w:eastAsia="黑体" w:cs="Times New Roman"/>
          <w:color w:val="auto"/>
          <w:sz w:val="30"/>
          <w:szCs w:val="30"/>
        </w:rPr>
        <w:t>办公地址和时间</w:t>
      </w:r>
    </w:p>
    <w:p>
      <w:pPr>
        <w:adjustRightInd w:val="0"/>
        <w:snapToGrid w:val="0"/>
        <w:spacing w:line="360" w:lineRule="auto"/>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 xml:space="preserve">    办公</w:t>
      </w:r>
      <w:r>
        <w:rPr>
          <w:rFonts w:hint="eastAsia" w:ascii="仿宋_GB2312" w:hAnsi="Times New Roman" w:eastAsia="仿宋_GB2312"/>
          <w:color w:val="auto"/>
          <w:sz w:val="30"/>
          <w:szCs w:val="30"/>
        </w:rPr>
        <w:t>地址：广西南宁市青秀区滨湖路58号</w:t>
      </w:r>
      <w:r>
        <w:rPr>
          <w:rFonts w:hint="eastAsia" w:ascii="仿宋_GB2312" w:hAnsi="Times New Roman" w:eastAsia="仿宋_GB2312"/>
          <w:color w:val="auto"/>
          <w:sz w:val="30"/>
          <w:szCs w:val="30"/>
          <w:lang w:eastAsia="zh-CN"/>
        </w:rPr>
        <w:t>中国人民银行广西壮族自治区分行七楼704室</w:t>
      </w:r>
      <w:r>
        <w:rPr>
          <w:rFonts w:hint="eastAsia" w:ascii="仿宋_GB2312" w:hAnsi="Times New Roman" w:eastAsia="仿宋_GB2312"/>
          <w:color w:val="auto"/>
          <w:sz w:val="30"/>
          <w:szCs w:val="30"/>
        </w:rPr>
        <w:t>。</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 xml:space="preserve">时间：工作日，上午：08:30-12:00，下午：02:30-05:30。 </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二十一、</w:t>
      </w:r>
      <w:r>
        <w:rPr>
          <w:rFonts w:ascii="Times New Roman" w:hAnsi="Times New Roman" w:eastAsia="黑体" w:cs="Times New Roman"/>
          <w:color w:val="auto"/>
          <w:sz w:val="30"/>
          <w:szCs w:val="30"/>
        </w:rPr>
        <w:t>示范文本及错误范例</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个人申请携带超过等值10000美元现钞出境，应提交申请书，说明相关情况并证明其确有</w:t>
      </w:r>
      <w:r>
        <w:rPr>
          <w:rFonts w:hint="eastAsia" w:ascii="Times New Roman" w:hAnsi="Times New Roman" w:eastAsia="仿宋_GB2312" w:cs="Times New Roman"/>
          <w:color w:val="auto"/>
          <w:sz w:val="30"/>
          <w:szCs w:val="30"/>
        </w:rPr>
        <w:t>携带外币现钞出境</w:t>
      </w:r>
      <w:r>
        <w:rPr>
          <w:rFonts w:ascii="Times New Roman" w:hAnsi="Times New Roman" w:eastAsia="仿宋_GB2312" w:cs="Times New Roman"/>
          <w:color w:val="auto"/>
          <w:sz w:val="30"/>
          <w:szCs w:val="30"/>
        </w:rPr>
        <w:t>需求，并签字；涉及单位组团出境的，应由单位提交申请并盖单位公章。</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例：</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外汇局XXX分局：</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本人某某，身份证号/护照号为XX，今因公务原因/回国/南北极考察……须前往XX国/地区，XX国/地区系战乱/金融管制/……国家，本人须携带外币现钞XXX元出境，币种为XX。本人外币现钞来源为XXX/用途为XXX，望批准。</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w:t>
      </w:r>
    </w:p>
    <w:p>
      <w:pPr>
        <w:adjustRightInd w:val="0"/>
        <w:snapToGrid w:val="0"/>
        <w:spacing w:line="360" w:lineRule="auto"/>
        <w:ind w:firstLine="5850" w:firstLineChars="195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签名</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日期</w:t>
      </w:r>
    </w:p>
    <w:p>
      <w:pPr>
        <w:adjustRightInd w:val="0"/>
        <w:snapToGrid w:val="0"/>
        <w:spacing w:line="360" w:lineRule="auto"/>
        <w:rPr>
          <w:rFonts w:ascii="Times New Roman" w:hAnsi="Times New Roman" w:eastAsia="仿宋_GB2312" w:cs="Times New Roman"/>
          <w:color w:val="auto"/>
          <w:sz w:val="30"/>
          <w:szCs w:val="30"/>
        </w:rPr>
      </w:pPr>
    </w:p>
    <w:p>
      <w:pPr>
        <w:adjustRightInd w:val="0"/>
        <w:snapToGrid w:val="0"/>
        <w:spacing w:line="360" w:lineRule="auto"/>
        <w:rPr>
          <w:rFonts w:ascii="Times New Roman" w:hAnsi="Times New Roman" w:eastAsia="仿宋_GB2312" w:cs="Times New Roman"/>
          <w:color w:val="auto"/>
          <w:sz w:val="30"/>
          <w:szCs w:val="30"/>
        </w:rPr>
      </w:pPr>
    </w:p>
    <w:p>
      <w:pPr>
        <w:adjustRightInd w:val="0"/>
        <w:snapToGrid w:val="0"/>
        <w:spacing w:line="360" w:lineRule="auto"/>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外汇局XX分支局：</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今我单位XXX，身份证号/护照号为XX，因南北极考察/公务出国/……须前往XX国/地区，XX国/地区系战乱/金融管制/南北极特殊地区……,须携带外币现钞XXX元出境，币种为XX。用途主要为……，望你单位批准。</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单位公章</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 xml:space="preserve">                                 日期</w:t>
      </w:r>
    </w:p>
    <w:p>
      <w:pPr>
        <w:adjustRightInd w:val="0"/>
        <w:snapToGrid w:val="0"/>
        <w:spacing w:line="360" w:lineRule="auto"/>
        <w:ind w:firstLine="600"/>
        <w:rPr>
          <w:rFonts w:ascii="Times New Roman" w:hAnsi="Times New Roman" w:eastAsia="仿宋_GB2312" w:cs="Times New Roman"/>
          <w:color w:val="auto"/>
          <w:sz w:val="30"/>
          <w:szCs w:val="30"/>
        </w:rPr>
      </w:pP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错误范例：金额、申请人名称、携钞用途/来源、携钞金额及币种等项目遗漏，未签章确认，或用途不符合外汇局携钞出境相关法规要求。</w:t>
      </w:r>
    </w:p>
    <w:p>
      <w:pPr>
        <w:widowControl/>
        <w:jc w:val="left"/>
        <w:rPr>
          <w:rFonts w:ascii="仿宋_GB2312" w:eastAsia="仿宋_GB2312"/>
          <w:color w:val="auto"/>
          <w:sz w:val="30"/>
          <w:szCs w:val="30"/>
        </w:rPr>
      </w:pPr>
      <w:r>
        <w:rPr>
          <w:rFonts w:ascii="仿宋_GB2312" w:eastAsia="仿宋_GB2312"/>
          <w:color w:val="auto"/>
          <w:sz w:val="30"/>
          <w:szCs w:val="30"/>
        </w:rPr>
        <w:br w:type="page"/>
      </w:r>
    </w:p>
    <w:p>
      <w:pPr>
        <w:ind w:right="300"/>
        <w:rPr>
          <w:rFonts w:ascii="仿宋_GB2312" w:eastAsia="仿宋_GB2312"/>
          <w:color w:val="auto"/>
          <w:sz w:val="30"/>
          <w:szCs w:val="30"/>
        </w:rPr>
      </w:pPr>
      <w:r>
        <w:rPr>
          <w:rFonts w:hint="eastAsia" w:ascii="仿宋_GB2312" w:eastAsia="仿宋_GB2312"/>
          <w:color w:val="auto"/>
          <w:sz w:val="30"/>
          <w:szCs w:val="30"/>
        </w:rPr>
        <w:t>附录</w:t>
      </w:r>
    </w:p>
    <w:p>
      <w:pPr>
        <w:ind w:right="300"/>
        <w:rPr>
          <w:rFonts w:ascii="仿宋_GB2312" w:eastAsia="仿宋_GB2312"/>
          <w:color w:val="auto"/>
          <w:sz w:val="30"/>
          <w:szCs w:val="30"/>
        </w:rPr>
      </w:pPr>
    </w:p>
    <w:p>
      <w:pPr>
        <w:ind w:right="300"/>
        <w:jc w:val="center"/>
        <w:rPr>
          <w:rFonts w:ascii="黑体" w:eastAsia="黑体"/>
          <w:color w:val="auto"/>
          <w:sz w:val="30"/>
          <w:szCs w:val="30"/>
        </w:rPr>
      </w:pPr>
      <w:r>
        <w:rPr>
          <w:rFonts w:hint="eastAsia" w:ascii="黑体" w:eastAsia="黑体"/>
          <w:color w:val="auto"/>
          <w:sz w:val="30"/>
          <w:szCs w:val="30"/>
        </w:rPr>
        <w:t>基本流程图</w:t>
      </w:r>
    </w:p>
    <w:p>
      <w:pPr>
        <w:ind w:right="300"/>
        <w:rPr>
          <w:rFonts w:ascii="仿宋_GB2312" w:eastAsia="仿宋_GB2312"/>
          <w:color w:val="auto"/>
          <w:sz w:val="30"/>
          <w:szCs w:val="30"/>
        </w:rPr>
      </w:pPr>
    </w:p>
    <w:p>
      <w:pPr>
        <w:ind w:right="300"/>
        <w:rPr>
          <w:rFonts w:ascii="仿宋_GB2312" w:eastAsia="仿宋_GB2312"/>
          <w:color w:val="auto"/>
          <w:sz w:val="30"/>
          <w:szCs w:val="30"/>
        </w:rPr>
      </w:pPr>
      <w:r>
        <w:rPr>
          <w:rFonts w:ascii="仿宋_GB2312" w:hAnsi="Calibri" w:eastAsia="仿宋_GB2312" w:cs="黑体"/>
          <w:color w:val="auto"/>
          <w:kern w:val="2"/>
          <w:sz w:val="30"/>
          <w:szCs w:val="30"/>
          <w:lang w:val="en-US" w:eastAsia="zh-CN" w:bidi="ar-SA"/>
        </w:rPr>
        <w:pict>
          <v:shape id="AutoShape 636" o:spid="_x0000_s1026" o:spt="116" type="#_x0000_t116" style="position:absolute;left:0pt;margin-left:0.15pt;margin-top:5.95pt;height:58.6pt;width:86.2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申请人提交申请材料</w:t>
                  </w:r>
                </w:p>
              </w:txbxContent>
            </v:textbox>
          </v:shape>
        </w:pict>
      </w:r>
    </w:p>
    <w:p>
      <w:pPr>
        <w:ind w:right="300"/>
        <w:rPr>
          <w:rFonts w:ascii="仿宋_GB2312" w:eastAsia="仿宋_GB2312"/>
          <w:color w:val="auto"/>
          <w:sz w:val="30"/>
          <w:szCs w:val="30"/>
        </w:rPr>
      </w:pPr>
      <w:r>
        <w:rPr>
          <w:rFonts w:ascii="仿宋_GB2312" w:hAnsi="Calibri" w:eastAsia="仿宋_GB2312" w:cs="黑体"/>
          <w:color w:val="auto"/>
          <w:kern w:val="2"/>
          <w:sz w:val="30"/>
          <w:szCs w:val="30"/>
          <w:lang w:val="en-US" w:eastAsia="zh-CN" w:bidi="ar-SA"/>
        </w:rPr>
        <w:pict>
          <v:roundrect id="AutoShape 639" o:spid="_x0000_s1027" o:spt="2" style="position:absolute;left:0pt;margin-left:144.95pt;margin-top:139.3pt;height:31.5pt;width:268.1pt;z-index:251662336;mso-width-relative:page;mso-height-relative:page;"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材料齐全予以</w:t>
                  </w:r>
                  <w:r>
                    <w:rPr>
                      <w:rFonts w:hint="eastAsia"/>
                      <w:lang w:eastAsia="zh-CN"/>
                    </w:rPr>
                    <w:t>受理</w:t>
                  </w:r>
                </w:p>
                <w:p/>
              </w:txbxContent>
            </v:textbox>
          </v:roundrect>
        </w:pict>
      </w:r>
      <w:r>
        <w:rPr>
          <w:rFonts w:ascii="仿宋_GB2312" w:hAnsi="Calibri" w:eastAsia="仿宋_GB2312" w:cs="黑体"/>
          <w:color w:val="auto"/>
          <w:kern w:val="2"/>
          <w:sz w:val="30"/>
          <w:szCs w:val="30"/>
          <w:lang w:val="en-US" w:eastAsia="zh-CN" w:bidi="ar-SA"/>
        </w:rPr>
        <w:pict>
          <v:roundrect id="AutoShape 637" o:spid="_x0000_s1028" o:spt="2" style="position:absolute;left:0pt;margin-left:273.6pt;margin-top:28.3pt;height:33.7pt;width:146.45pt;z-index:251660288;mso-width-relative:page;mso-height-relative:page;"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申请人补全材料</w:t>
                  </w:r>
                </w:p>
              </w:txbxContent>
            </v:textbox>
          </v:roundrect>
        </w:pict>
      </w:r>
      <w:r>
        <w:rPr>
          <w:rFonts w:ascii="仿宋_GB2312" w:hAnsi="Calibri" w:eastAsia="仿宋_GB2312" w:cs="黑体"/>
          <w:color w:val="auto"/>
          <w:kern w:val="2"/>
          <w:sz w:val="30"/>
          <w:szCs w:val="30"/>
          <w:lang w:val="en-US" w:eastAsia="zh-CN" w:bidi="ar-SA"/>
        </w:rPr>
        <w:pict>
          <v:roundrect id="AutoShape 638" o:spid="_x0000_s1029" o:spt="2" style="position:absolute;left:0pt;margin-left:144.95pt;margin-top:86.7pt;height:43.55pt;width:268.1pt;z-index:251661312;mso-width-relative:page;mso-height-relative:page;" fillcolor="#FFFFFF" filled="t" o:preferrelative="t" stroked="t" coordsize="21600,21600" arcsize="0.166666666666667">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材料不全或不符合其他法定形式的，一次性告知补正材料，并依法出具《行政许可补正通知书》或其他文书</w:t>
                  </w:r>
                </w:p>
              </w:txbxContent>
            </v:textbox>
          </v:roundrect>
        </w:pict>
      </w:r>
      <w:r>
        <w:rPr>
          <w:rFonts w:ascii="仿宋_GB2312" w:hAnsi="Calibri" w:eastAsia="仿宋_GB2312" w:cs="黑体"/>
          <w:color w:val="auto"/>
          <w:kern w:val="2"/>
          <w:sz w:val="30"/>
          <w:szCs w:val="30"/>
          <w:lang w:val="en-US" w:eastAsia="zh-CN" w:bidi="ar-SA"/>
        </w:rPr>
        <w:pict>
          <v:shape id="AutoShape 645" o:spid="_x0000_s1030" o:spt="110" type="#_x0000_t110" style="position:absolute;left:0pt;margin-left:-33pt;margin-top:75.55pt;height:95.25pt;width:147.75pt;z-index:25166848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分支局受理、审查、审批</w:t>
                  </w:r>
                </w:p>
              </w:txbxContent>
            </v:textbox>
          </v:shape>
        </w:pict>
      </w:r>
      <w:r>
        <w:rPr>
          <w:rFonts w:ascii="仿宋_GB2312" w:hAnsi="Calibri" w:eastAsia="仿宋_GB2312" w:cs="黑体"/>
          <w:color w:val="auto"/>
          <w:kern w:val="2"/>
          <w:sz w:val="30"/>
          <w:szCs w:val="30"/>
          <w:lang w:val="en-US" w:eastAsia="zh-CN" w:bidi="ar-SA"/>
        </w:rPr>
        <w:pict>
          <v:shape id="AutoShape 644" o:spid="_x0000_s1031" o:spt="32" type="#_x0000_t32" style="position:absolute;left:0pt;flip:x;margin-left:41.45pt;margin-top:47.75pt;height:0.05pt;width:232.15pt;z-index:251667456;mso-width-relative:page;mso-height-relative:page;"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w:pict>
      </w:r>
      <w:r>
        <w:rPr>
          <w:rFonts w:ascii="仿宋_GB2312" w:hAnsi="Calibri" w:eastAsia="仿宋_GB2312" w:cs="黑体"/>
          <w:color w:val="auto"/>
          <w:kern w:val="2"/>
          <w:sz w:val="30"/>
          <w:szCs w:val="30"/>
          <w:lang w:val="en-US" w:eastAsia="zh-CN" w:bidi="ar-SA"/>
        </w:rPr>
        <w:pict>
          <v:shape id="AutoShape 643" o:spid="_x0000_s1032" o:spt="32" type="#_x0000_t32" style="position:absolute;left:0pt;flip:y;margin-left:345.35pt;margin-top:62pt;height:24.7pt;width:0.05pt;z-index:251666432;mso-width-relative:page;mso-height-relative:page;"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w:pict>
      </w:r>
      <w:r>
        <w:rPr>
          <w:rFonts w:ascii="仿宋_GB2312" w:hAnsi="Calibri" w:eastAsia="仿宋_GB2312" w:cs="黑体"/>
          <w:color w:val="auto"/>
          <w:kern w:val="2"/>
          <w:sz w:val="30"/>
          <w:szCs w:val="30"/>
          <w:lang w:val="en-US" w:eastAsia="zh-CN" w:bidi="ar-SA"/>
        </w:rPr>
        <w:pict>
          <v:shape id="AutoShape 642" o:spid="_x0000_s1033" o:spt="32" type="#_x0000_t32" style="position:absolute;left:0pt;margin-left:86.35pt;margin-top:142.2pt;height:0.05pt;width:58.6pt;z-index:251665408;mso-width-relative:page;mso-height-relative:page;"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w:pict>
      </w:r>
      <w:r>
        <w:rPr>
          <w:rFonts w:ascii="仿宋_GB2312" w:hAnsi="Calibri" w:eastAsia="仿宋_GB2312" w:cs="黑体"/>
          <w:color w:val="auto"/>
          <w:kern w:val="2"/>
          <w:sz w:val="30"/>
          <w:szCs w:val="30"/>
          <w:lang w:val="en-US" w:eastAsia="zh-CN" w:bidi="ar-SA"/>
        </w:rPr>
        <w:pict>
          <v:shape id="AutoShape 641" o:spid="_x0000_s1034" o:spt="32" type="#_x0000_t32" style="position:absolute;left:0pt;margin-left:86.35pt;margin-top:104.7pt;height:0.05pt;width:58.6pt;z-index:251664384;mso-width-relative:page;mso-height-relative:page;"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w:pict>
      </w:r>
      <w:r>
        <w:rPr>
          <w:rFonts w:ascii="仿宋_GB2312" w:hAnsi="Calibri" w:eastAsia="仿宋_GB2312" w:cs="黑体"/>
          <w:color w:val="auto"/>
          <w:kern w:val="2"/>
          <w:sz w:val="30"/>
          <w:szCs w:val="30"/>
          <w:lang w:val="en-US" w:eastAsia="zh-CN" w:bidi="ar-SA"/>
        </w:rPr>
        <w:pict>
          <v:shape id="AutoShape 640" o:spid="_x0000_s1035" o:spt="32" type="#_x0000_t32" style="position:absolute;left:0pt;margin-left:40.6pt;margin-top:33.35pt;height:42.2pt;width:0.05pt;z-index:251663360;mso-width-relative:page;mso-height-relative:page;"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w:pict>
      </w: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ind w:right="300"/>
        <w:rPr>
          <w:rFonts w:ascii="仿宋_GB2312" w:eastAsia="仿宋_GB2312"/>
          <w:color w:val="auto"/>
          <w:sz w:val="30"/>
          <w:szCs w:val="30"/>
        </w:rPr>
      </w:pPr>
    </w:p>
    <w:p>
      <w:pPr>
        <w:adjustRightInd w:val="0"/>
        <w:snapToGrid w:val="0"/>
        <w:spacing w:line="360" w:lineRule="auto"/>
        <w:ind w:firstLine="585"/>
        <w:rPr>
          <w:color w:val="auto"/>
        </w:rPr>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Noto Sans Mono CJK JP Regular">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8</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AB131E"/>
    <w:rsid w:val="00003372"/>
    <w:rsid w:val="00007600"/>
    <w:rsid w:val="00022191"/>
    <w:rsid w:val="00023783"/>
    <w:rsid w:val="00041960"/>
    <w:rsid w:val="00042B58"/>
    <w:rsid w:val="00054B00"/>
    <w:rsid w:val="00055270"/>
    <w:rsid w:val="00057F76"/>
    <w:rsid w:val="00064A08"/>
    <w:rsid w:val="0006560A"/>
    <w:rsid w:val="00067BFA"/>
    <w:rsid w:val="00072F8A"/>
    <w:rsid w:val="000750C8"/>
    <w:rsid w:val="00080630"/>
    <w:rsid w:val="0008322A"/>
    <w:rsid w:val="00091661"/>
    <w:rsid w:val="00092D53"/>
    <w:rsid w:val="00096CBB"/>
    <w:rsid w:val="00097F7B"/>
    <w:rsid w:val="000B1B41"/>
    <w:rsid w:val="000B6901"/>
    <w:rsid w:val="000B728B"/>
    <w:rsid w:val="000C15B3"/>
    <w:rsid w:val="000C2B33"/>
    <w:rsid w:val="000D1995"/>
    <w:rsid w:val="000D7478"/>
    <w:rsid w:val="00120DFD"/>
    <w:rsid w:val="0012271F"/>
    <w:rsid w:val="00130519"/>
    <w:rsid w:val="00135BEE"/>
    <w:rsid w:val="0014667A"/>
    <w:rsid w:val="00154B58"/>
    <w:rsid w:val="00157C64"/>
    <w:rsid w:val="00157E81"/>
    <w:rsid w:val="00170126"/>
    <w:rsid w:val="00177059"/>
    <w:rsid w:val="00181D3E"/>
    <w:rsid w:val="00186BC2"/>
    <w:rsid w:val="00196FAE"/>
    <w:rsid w:val="001A3E49"/>
    <w:rsid w:val="001A72AA"/>
    <w:rsid w:val="001B09C8"/>
    <w:rsid w:val="001B1E2C"/>
    <w:rsid w:val="001C44C7"/>
    <w:rsid w:val="001D65A2"/>
    <w:rsid w:val="001E1407"/>
    <w:rsid w:val="001F08A9"/>
    <w:rsid w:val="001F3DEE"/>
    <w:rsid w:val="001F4BD4"/>
    <w:rsid w:val="001F7297"/>
    <w:rsid w:val="00205D07"/>
    <w:rsid w:val="00212F39"/>
    <w:rsid w:val="00214B36"/>
    <w:rsid w:val="00217116"/>
    <w:rsid w:val="00231EED"/>
    <w:rsid w:val="00233841"/>
    <w:rsid w:val="002343C8"/>
    <w:rsid w:val="00235736"/>
    <w:rsid w:val="00235F24"/>
    <w:rsid w:val="002417D2"/>
    <w:rsid w:val="00241FE8"/>
    <w:rsid w:val="0024527E"/>
    <w:rsid w:val="00253743"/>
    <w:rsid w:val="00253F7B"/>
    <w:rsid w:val="00263773"/>
    <w:rsid w:val="00263B1F"/>
    <w:rsid w:val="002750BA"/>
    <w:rsid w:val="00281976"/>
    <w:rsid w:val="00291C17"/>
    <w:rsid w:val="0029313A"/>
    <w:rsid w:val="002A668C"/>
    <w:rsid w:val="002B0B1C"/>
    <w:rsid w:val="002B598D"/>
    <w:rsid w:val="002B61C1"/>
    <w:rsid w:val="002E1323"/>
    <w:rsid w:val="002F2D2F"/>
    <w:rsid w:val="002F3868"/>
    <w:rsid w:val="00300EF5"/>
    <w:rsid w:val="00302119"/>
    <w:rsid w:val="00302E87"/>
    <w:rsid w:val="00307F23"/>
    <w:rsid w:val="00310261"/>
    <w:rsid w:val="00317654"/>
    <w:rsid w:val="003270F0"/>
    <w:rsid w:val="00342667"/>
    <w:rsid w:val="00343044"/>
    <w:rsid w:val="00344B01"/>
    <w:rsid w:val="00353AC4"/>
    <w:rsid w:val="003616B4"/>
    <w:rsid w:val="00373EC0"/>
    <w:rsid w:val="003A090F"/>
    <w:rsid w:val="003A57B2"/>
    <w:rsid w:val="003B755F"/>
    <w:rsid w:val="003C0E26"/>
    <w:rsid w:val="003C7132"/>
    <w:rsid w:val="003D77A5"/>
    <w:rsid w:val="003E6BF6"/>
    <w:rsid w:val="003F221D"/>
    <w:rsid w:val="003F3097"/>
    <w:rsid w:val="00402AE8"/>
    <w:rsid w:val="00404C3E"/>
    <w:rsid w:val="00405FE6"/>
    <w:rsid w:val="004105BC"/>
    <w:rsid w:val="00420571"/>
    <w:rsid w:val="00421C27"/>
    <w:rsid w:val="00440A1F"/>
    <w:rsid w:val="00443603"/>
    <w:rsid w:val="00443604"/>
    <w:rsid w:val="004501EA"/>
    <w:rsid w:val="00452108"/>
    <w:rsid w:val="00460458"/>
    <w:rsid w:val="00461294"/>
    <w:rsid w:val="0046792D"/>
    <w:rsid w:val="004767DF"/>
    <w:rsid w:val="00493CCC"/>
    <w:rsid w:val="004A0218"/>
    <w:rsid w:val="004A7840"/>
    <w:rsid w:val="004B545A"/>
    <w:rsid w:val="004B7E80"/>
    <w:rsid w:val="004C457E"/>
    <w:rsid w:val="004C48D5"/>
    <w:rsid w:val="004D03B7"/>
    <w:rsid w:val="004D1436"/>
    <w:rsid w:val="004D57AE"/>
    <w:rsid w:val="004E6A8C"/>
    <w:rsid w:val="005056D4"/>
    <w:rsid w:val="00526B2B"/>
    <w:rsid w:val="005362B0"/>
    <w:rsid w:val="00540AE9"/>
    <w:rsid w:val="00542447"/>
    <w:rsid w:val="00564312"/>
    <w:rsid w:val="00583BE5"/>
    <w:rsid w:val="005938DE"/>
    <w:rsid w:val="005A2981"/>
    <w:rsid w:val="005C3FAA"/>
    <w:rsid w:val="005C6937"/>
    <w:rsid w:val="005C7F02"/>
    <w:rsid w:val="005E1B5C"/>
    <w:rsid w:val="005F0A86"/>
    <w:rsid w:val="005F144A"/>
    <w:rsid w:val="005F1C00"/>
    <w:rsid w:val="0061621E"/>
    <w:rsid w:val="0062600A"/>
    <w:rsid w:val="00630AA8"/>
    <w:rsid w:val="00630B2E"/>
    <w:rsid w:val="00643D2A"/>
    <w:rsid w:val="0066041A"/>
    <w:rsid w:val="00664E11"/>
    <w:rsid w:val="00673B30"/>
    <w:rsid w:val="00696E5D"/>
    <w:rsid w:val="006A1A06"/>
    <w:rsid w:val="006B49E8"/>
    <w:rsid w:val="006B5B86"/>
    <w:rsid w:val="006C5908"/>
    <w:rsid w:val="006C633E"/>
    <w:rsid w:val="006D56AB"/>
    <w:rsid w:val="006D734F"/>
    <w:rsid w:val="006D74BC"/>
    <w:rsid w:val="006E043F"/>
    <w:rsid w:val="006E4695"/>
    <w:rsid w:val="006E4B8B"/>
    <w:rsid w:val="006E5901"/>
    <w:rsid w:val="0071091C"/>
    <w:rsid w:val="00714961"/>
    <w:rsid w:val="00744BD5"/>
    <w:rsid w:val="00745748"/>
    <w:rsid w:val="00750E36"/>
    <w:rsid w:val="00753CB0"/>
    <w:rsid w:val="00755460"/>
    <w:rsid w:val="00761FB7"/>
    <w:rsid w:val="00762107"/>
    <w:rsid w:val="00764CB9"/>
    <w:rsid w:val="00765B05"/>
    <w:rsid w:val="0077269F"/>
    <w:rsid w:val="00785F45"/>
    <w:rsid w:val="007A07F1"/>
    <w:rsid w:val="007A2780"/>
    <w:rsid w:val="007A68EA"/>
    <w:rsid w:val="007B06FC"/>
    <w:rsid w:val="007B0FEF"/>
    <w:rsid w:val="007B2DB5"/>
    <w:rsid w:val="007D2C11"/>
    <w:rsid w:val="007D6171"/>
    <w:rsid w:val="007D69EA"/>
    <w:rsid w:val="007E2C7B"/>
    <w:rsid w:val="007E411B"/>
    <w:rsid w:val="007F0863"/>
    <w:rsid w:val="007F2F3B"/>
    <w:rsid w:val="00802307"/>
    <w:rsid w:val="00811DFB"/>
    <w:rsid w:val="0082168E"/>
    <w:rsid w:val="00821968"/>
    <w:rsid w:val="0084639E"/>
    <w:rsid w:val="008471B6"/>
    <w:rsid w:val="0084740A"/>
    <w:rsid w:val="00851521"/>
    <w:rsid w:val="0085686A"/>
    <w:rsid w:val="00860878"/>
    <w:rsid w:val="008731FF"/>
    <w:rsid w:val="0088294A"/>
    <w:rsid w:val="0089282A"/>
    <w:rsid w:val="008A4538"/>
    <w:rsid w:val="008A704B"/>
    <w:rsid w:val="008B08D2"/>
    <w:rsid w:val="008B4EE5"/>
    <w:rsid w:val="008B5807"/>
    <w:rsid w:val="008D5FA0"/>
    <w:rsid w:val="008E2D38"/>
    <w:rsid w:val="008F5724"/>
    <w:rsid w:val="008F5900"/>
    <w:rsid w:val="00902633"/>
    <w:rsid w:val="009027D8"/>
    <w:rsid w:val="0090372F"/>
    <w:rsid w:val="00911E27"/>
    <w:rsid w:val="00911E9A"/>
    <w:rsid w:val="0092129A"/>
    <w:rsid w:val="00925BB2"/>
    <w:rsid w:val="00930C8C"/>
    <w:rsid w:val="009360EA"/>
    <w:rsid w:val="00947C57"/>
    <w:rsid w:val="00951149"/>
    <w:rsid w:val="00960EDB"/>
    <w:rsid w:val="009622DB"/>
    <w:rsid w:val="009664BC"/>
    <w:rsid w:val="00980F02"/>
    <w:rsid w:val="00991B77"/>
    <w:rsid w:val="00997523"/>
    <w:rsid w:val="0099781D"/>
    <w:rsid w:val="009A0C5D"/>
    <w:rsid w:val="009A58EB"/>
    <w:rsid w:val="009C4672"/>
    <w:rsid w:val="009C491B"/>
    <w:rsid w:val="009D0911"/>
    <w:rsid w:val="009D24F8"/>
    <w:rsid w:val="009D6647"/>
    <w:rsid w:val="009D688C"/>
    <w:rsid w:val="009F7A36"/>
    <w:rsid w:val="00A1538B"/>
    <w:rsid w:val="00A249C2"/>
    <w:rsid w:val="00A24FAB"/>
    <w:rsid w:val="00A27E4F"/>
    <w:rsid w:val="00A301E7"/>
    <w:rsid w:val="00A3068F"/>
    <w:rsid w:val="00A371ED"/>
    <w:rsid w:val="00A3762C"/>
    <w:rsid w:val="00A42E69"/>
    <w:rsid w:val="00A45CA7"/>
    <w:rsid w:val="00A51415"/>
    <w:rsid w:val="00A6014E"/>
    <w:rsid w:val="00A60356"/>
    <w:rsid w:val="00A66F2C"/>
    <w:rsid w:val="00A81DF1"/>
    <w:rsid w:val="00A90EF3"/>
    <w:rsid w:val="00AA279A"/>
    <w:rsid w:val="00AA7717"/>
    <w:rsid w:val="00AB131E"/>
    <w:rsid w:val="00AB29E5"/>
    <w:rsid w:val="00AB644F"/>
    <w:rsid w:val="00AC3F5E"/>
    <w:rsid w:val="00AE7ACF"/>
    <w:rsid w:val="00B06409"/>
    <w:rsid w:val="00B10912"/>
    <w:rsid w:val="00B17D66"/>
    <w:rsid w:val="00B31FD9"/>
    <w:rsid w:val="00B33782"/>
    <w:rsid w:val="00B35D3A"/>
    <w:rsid w:val="00B422F1"/>
    <w:rsid w:val="00B71531"/>
    <w:rsid w:val="00B7456C"/>
    <w:rsid w:val="00B763AA"/>
    <w:rsid w:val="00B84131"/>
    <w:rsid w:val="00B8630E"/>
    <w:rsid w:val="00B865B8"/>
    <w:rsid w:val="00B931F4"/>
    <w:rsid w:val="00B95573"/>
    <w:rsid w:val="00B96395"/>
    <w:rsid w:val="00BA2AF8"/>
    <w:rsid w:val="00BB2650"/>
    <w:rsid w:val="00BB5BDC"/>
    <w:rsid w:val="00BB7B76"/>
    <w:rsid w:val="00BC7E04"/>
    <w:rsid w:val="00BD233D"/>
    <w:rsid w:val="00BD6698"/>
    <w:rsid w:val="00BF4EF0"/>
    <w:rsid w:val="00C01775"/>
    <w:rsid w:val="00C02E44"/>
    <w:rsid w:val="00C147D2"/>
    <w:rsid w:val="00C2075F"/>
    <w:rsid w:val="00C2377A"/>
    <w:rsid w:val="00C23799"/>
    <w:rsid w:val="00C274C9"/>
    <w:rsid w:val="00C31E02"/>
    <w:rsid w:val="00C3486D"/>
    <w:rsid w:val="00C45BC1"/>
    <w:rsid w:val="00C54291"/>
    <w:rsid w:val="00C672C3"/>
    <w:rsid w:val="00C712B2"/>
    <w:rsid w:val="00C855E2"/>
    <w:rsid w:val="00C94325"/>
    <w:rsid w:val="00C97FED"/>
    <w:rsid w:val="00CA1DBB"/>
    <w:rsid w:val="00CA2622"/>
    <w:rsid w:val="00CA7F2C"/>
    <w:rsid w:val="00CA7FF8"/>
    <w:rsid w:val="00CB5DE7"/>
    <w:rsid w:val="00CC068D"/>
    <w:rsid w:val="00CC4922"/>
    <w:rsid w:val="00CD1FF6"/>
    <w:rsid w:val="00CE25C7"/>
    <w:rsid w:val="00CE3335"/>
    <w:rsid w:val="00CE4849"/>
    <w:rsid w:val="00CE5C8E"/>
    <w:rsid w:val="00CE5F49"/>
    <w:rsid w:val="00D01626"/>
    <w:rsid w:val="00D140AD"/>
    <w:rsid w:val="00D14CBC"/>
    <w:rsid w:val="00D21ADA"/>
    <w:rsid w:val="00D33A4D"/>
    <w:rsid w:val="00D33F76"/>
    <w:rsid w:val="00D41F5E"/>
    <w:rsid w:val="00D43DC0"/>
    <w:rsid w:val="00D54E56"/>
    <w:rsid w:val="00D6407D"/>
    <w:rsid w:val="00D90907"/>
    <w:rsid w:val="00D93E78"/>
    <w:rsid w:val="00DA7B4D"/>
    <w:rsid w:val="00DA7D86"/>
    <w:rsid w:val="00DC6E91"/>
    <w:rsid w:val="00DC7514"/>
    <w:rsid w:val="00DD3845"/>
    <w:rsid w:val="00E038A4"/>
    <w:rsid w:val="00E1687A"/>
    <w:rsid w:val="00E20A2E"/>
    <w:rsid w:val="00E277DE"/>
    <w:rsid w:val="00E27EE9"/>
    <w:rsid w:val="00E3239D"/>
    <w:rsid w:val="00E3254B"/>
    <w:rsid w:val="00E3439B"/>
    <w:rsid w:val="00E42C5F"/>
    <w:rsid w:val="00E65A1B"/>
    <w:rsid w:val="00E72F1F"/>
    <w:rsid w:val="00E75297"/>
    <w:rsid w:val="00E934AB"/>
    <w:rsid w:val="00EA06AC"/>
    <w:rsid w:val="00EA08BF"/>
    <w:rsid w:val="00EA24FB"/>
    <w:rsid w:val="00EB3204"/>
    <w:rsid w:val="00EB50BA"/>
    <w:rsid w:val="00EB5B41"/>
    <w:rsid w:val="00EC3D33"/>
    <w:rsid w:val="00EC552E"/>
    <w:rsid w:val="00ED302A"/>
    <w:rsid w:val="00ED3A42"/>
    <w:rsid w:val="00EE02BC"/>
    <w:rsid w:val="00EE6970"/>
    <w:rsid w:val="00EF38D0"/>
    <w:rsid w:val="00EF3DDF"/>
    <w:rsid w:val="00EF4A8C"/>
    <w:rsid w:val="00EF4EB8"/>
    <w:rsid w:val="00F2678C"/>
    <w:rsid w:val="00F27B38"/>
    <w:rsid w:val="00F341DD"/>
    <w:rsid w:val="00F40278"/>
    <w:rsid w:val="00F41832"/>
    <w:rsid w:val="00F43EE1"/>
    <w:rsid w:val="00F56988"/>
    <w:rsid w:val="00F5789E"/>
    <w:rsid w:val="00F620FB"/>
    <w:rsid w:val="00F64129"/>
    <w:rsid w:val="00F6571F"/>
    <w:rsid w:val="00F74787"/>
    <w:rsid w:val="00F755CD"/>
    <w:rsid w:val="00F8687E"/>
    <w:rsid w:val="00F91E34"/>
    <w:rsid w:val="00F93331"/>
    <w:rsid w:val="00F95549"/>
    <w:rsid w:val="00FA1E24"/>
    <w:rsid w:val="00FA24FB"/>
    <w:rsid w:val="00FA632B"/>
    <w:rsid w:val="00FB38EA"/>
    <w:rsid w:val="00FB5E0F"/>
    <w:rsid w:val="00FB6AFF"/>
    <w:rsid w:val="00FC4D8F"/>
    <w:rsid w:val="00FD06D3"/>
    <w:rsid w:val="00FE3157"/>
    <w:rsid w:val="00FE6865"/>
    <w:rsid w:val="00FE6993"/>
    <w:rsid w:val="00FE766F"/>
    <w:rsid w:val="044F1D27"/>
    <w:rsid w:val="05B3228F"/>
    <w:rsid w:val="05D82D98"/>
    <w:rsid w:val="06DE4C53"/>
    <w:rsid w:val="07116CDB"/>
    <w:rsid w:val="0E7E0D9B"/>
    <w:rsid w:val="1145125A"/>
    <w:rsid w:val="151847B0"/>
    <w:rsid w:val="161A6E3F"/>
    <w:rsid w:val="16C64D04"/>
    <w:rsid w:val="1AE762EA"/>
    <w:rsid w:val="1C5433B4"/>
    <w:rsid w:val="1D302646"/>
    <w:rsid w:val="1DEB09CA"/>
    <w:rsid w:val="25E30075"/>
    <w:rsid w:val="27544447"/>
    <w:rsid w:val="280D0134"/>
    <w:rsid w:val="281842F6"/>
    <w:rsid w:val="29242988"/>
    <w:rsid w:val="29956345"/>
    <w:rsid w:val="2CF567BD"/>
    <w:rsid w:val="2DE978E7"/>
    <w:rsid w:val="2ECD5D9C"/>
    <w:rsid w:val="334C3E41"/>
    <w:rsid w:val="33507C7B"/>
    <w:rsid w:val="36FC6942"/>
    <w:rsid w:val="3A504019"/>
    <w:rsid w:val="3C583998"/>
    <w:rsid w:val="3E145AF2"/>
    <w:rsid w:val="3E642E60"/>
    <w:rsid w:val="43214B50"/>
    <w:rsid w:val="45AC698C"/>
    <w:rsid w:val="47416DB7"/>
    <w:rsid w:val="47DA4232"/>
    <w:rsid w:val="4B0C38FC"/>
    <w:rsid w:val="55537C94"/>
    <w:rsid w:val="5880751D"/>
    <w:rsid w:val="5ACA0479"/>
    <w:rsid w:val="5B322E03"/>
    <w:rsid w:val="5E5A18ED"/>
    <w:rsid w:val="607E2EAD"/>
    <w:rsid w:val="61AC3339"/>
    <w:rsid w:val="650D3B09"/>
    <w:rsid w:val="65515476"/>
    <w:rsid w:val="69BE32CD"/>
    <w:rsid w:val="6A086A86"/>
    <w:rsid w:val="6CDB431A"/>
    <w:rsid w:val="701E6BDF"/>
    <w:rsid w:val="7739699E"/>
    <w:rsid w:val="773B3DEC"/>
    <w:rsid w:val="7AC57CA8"/>
    <w:rsid w:val="7D532E69"/>
    <w:rsid w:val="7D675EA3"/>
    <w:rsid w:val="7DD448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AutoShape 644"/>
        <o:r id="V:Rule2" type="connector" idref="#AutoShape 643"/>
        <o:r id="V:Rule3" type="connector" idref="#AutoShape 642"/>
        <o:r id="V:Rule4" type="connector" idref="#AutoShape 641"/>
        <o:r id="V:Rule5" type="connector" idref="#AutoShape 6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3"/>
    <w:qFormat/>
    <w:uiPriority w:val="9"/>
    <w:pPr>
      <w:ind w:firstLine="600" w:firstLineChars="200"/>
      <w:outlineLvl w:val="0"/>
    </w:pPr>
    <w:rPr>
      <w:rFonts w:ascii="黑体" w:hAnsi="黑体" w:eastAsia="黑体" w:cs="宋体"/>
      <w:color w:val="000000"/>
      <w:kern w:val="0"/>
      <w:sz w:val="30"/>
      <w:szCs w:val="30"/>
    </w:rPr>
  </w:style>
  <w:style w:type="paragraph" w:styleId="3">
    <w:name w:val="heading 2"/>
    <w:basedOn w:val="1"/>
    <w:next w:val="1"/>
    <w:link w:val="34"/>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5"/>
    <w:qFormat/>
    <w:uiPriority w:val="9"/>
    <w:pPr>
      <w:ind w:right="300"/>
      <w:outlineLvl w:val="2"/>
    </w:pPr>
    <w:rPr>
      <w:rFonts w:ascii="仿宋_GB2312" w:hAnsi="Calibri" w:eastAsia="仿宋_GB2312" w:cs="Times New Roman"/>
      <w:sz w:val="30"/>
      <w:szCs w:val="3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9"/>
    <w:unhideWhenUsed/>
    <w:qFormat/>
    <w:uiPriority w:val="0"/>
    <w:rPr>
      <w:rFonts w:ascii="宋体"/>
      <w:sz w:val="18"/>
      <w:szCs w:val="18"/>
    </w:rPr>
  </w:style>
  <w:style w:type="paragraph" w:styleId="6">
    <w:name w:val="annotation text"/>
    <w:basedOn w:val="1"/>
    <w:link w:val="32"/>
    <w:unhideWhenUsed/>
    <w:qFormat/>
    <w:uiPriority w:val="99"/>
    <w:pPr>
      <w:jc w:val="left"/>
    </w:pPr>
    <w:rPr>
      <w:rFonts w:ascii="Calibri" w:hAnsi="Calibri" w:eastAsia="宋体" w:cs="Times New Roman"/>
    </w:rPr>
  </w:style>
  <w:style w:type="paragraph" w:styleId="7">
    <w:name w:val="Balloon Text"/>
    <w:basedOn w:val="1"/>
    <w:link w:val="30"/>
    <w:unhideWhenUsed/>
    <w:qFormat/>
    <w:uiPriority w:val="0"/>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7"/>
    <w:semiHidden/>
    <w:qFormat/>
    <w:uiPriority w:val="0"/>
    <w:pPr>
      <w:snapToGrid w:val="0"/>
      <w:jc w:val="left"/>
    </w:pPr>
    <w:rPr>
      <w:rFonts w:ascii="Times New Roman" w:hAnsi="Times New Roman"/>
      <w:sz w:val="18"/>
      <w:szCs w:val="18"/>
    </w:rPr>
  </w:style>
  <w:style w:type="paragraph" w:styleId="11">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basedOn w:val="15"/>
    <w:unhideWhenUsed/>
    <w:qFormat/>
    <w:uiPriority w:val="99"/>
    <w:rPr>
      <w:rFonts w:hint="default" w:ascii="ˎ̥" w:hAnsi="ˎ̥"/>
      <w:color w:val="0453CC"/>
      <w:sz w:val="20"/>
      <w:szCs w:val="20"/>
      <w:u w:val="none"/>
    </w:rPr>
  </w:style>
  <w:style w:type="character" w:styleId="17">
    <w:name w:val="annotation reference"/>
    <w:basedOn w:val="15"/>
    <w:unhideWhenUsed/>
    <w:qFormat/>
    <w:uiPriority w:val="0"/>
    <w:rPr>
      <w:sz w:val="21"/>
      <w:szCs w:val="21"/>
    </w:rPr>
  </w:style>
  <w:style w:type="character" w:styleId="18">
    <w:name w:val="footnote reference"/>
    <w:unhideWhenUsed/>
    <w:qFormat/>
    <w:uiPriority w:val="0"/>
    <w:rPr>
      <w:rFonts w:ascii="Times New Roman" w:hAnsi="Times New Roman" w:cs="Times New Roman"/>
      <w:vertAlign w:val="superscript"/>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1">
    <w:name w:val="juzhong"/>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2">
    <w:name w:val="Revision"/>
    <w:hidden/>
    <w:semiHidden/>
    <w:qFormat/>
    <w:uiPriority w:val="99"/>
    <w:rPr>
      <w:rFonts w:ascii="Calibri" w:hAnsi="Calibri" w:eastAsia="宋体" w:cs="黑体"/>
      <w:kern w:val="2"/>
      <w:sz w:val="21"/>
      <w:szCs w:val="22"/>
      <w:lang w:val="en-US" w:eastAsia="zh-CN" w:bidi="ar-SA"/>
    </w:rPr>
  </w:style>
  <w:style w:type="paragraph" w:customStyle="1" w:styleId="23">
    <w:name w:val="列出段落1"/>
    <w:basedOn w:val="1"/>
    <w:qFormat/>
    <w:uiPriority w:val="34"/>
    <w:pPr>
      <w:ind w:firstLine="420" w:firstLineChars="200"/>
    </w:pPr>
    <w:rPr>
      <w:rFonts w:ascii="Calibri" w:hAnsi="Calibri" w:eastAsia="宋体" w:cs="Times New Roman"/>
    </w:rPr>
  </w:style>
  <w:style w:type="paragraph" w:customStyle="1" w:styleId="24">
    <w:name w:val="列出段落4"/>
    <w:basedOn w:val="1"/>
    <w:qFormat/>
    <w:uiPriority w:val="0"/>
    <w:pPr>
      <w:ind w:firstLine="200" w:firstLineChars="200"/>
    </w:pPr>
    <w:rPr>
      <w:rFonts w:ascii="Calibri" w:hAnsi="Calibri" w:eastAsia="宋体" w:cs="Times New Roman"/>
    </w:rPr>
  </w:style>
  <w:style w:type="paragraph" w:customStyle="1" w:styleId="25">
    <w:name w:val="列出段落3"/>
    <w:basedOn w:val="1"/>
    <w:qFormat/>
    <w:uiPriority w:val="0"/>
    <w:pPr>
      <w:ind w:firstLine="420" w:firstLineChars="200"/>
    </w:pPr>
    <w:rPr>
      <w:rFonts w:ascii="Times New Roman" w:hAnsi="Times New Roman" w:eastAsia="宋体" w:cs="Times New Roman"/>
      <w:szCs w:val="24"/>
    </w:rPr>
  </w:style>
  <w:style w:type="paragraph" w:customStyle="1" w:styleId="26">
    <w:name w:val="p0"/>
    <w:basedOn w:val="1"/>
    <w:qFormat/>
    <w:uiPriority w:val="0"/>
    <w:pPr>
      <w:widowControl/>
    </w:pPr>
    <w:rPr>
      <w:rFonts w:ascii="Calibri" w:hAnsi="Calibri" w:eastAsia="宋体" w:cs="宋体"/>
      <w:kern w:val="0"/>
      <w:szCs w:val="21"/>
    </w:rPr>
  </w:style>
  <w:style w:type="paragraph" w:customStyle="1" w:styleId="27">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character" w:customStyle="1" w:styleId="28">
    <w:name w:val="页眉 Char"/>
    <w:basedOn w:val="15"/>
    <w:link w:val="9"/>
    <w:qFormat/>
    <w:uiPriority w:val="99"/>
    <w:rPr>
      <w:sz w:val="18"/>
      <w:szCs w:val="18"/>
    </w:rPr>
  </w:style>
  <w:style w:type="character" w:customStyle="1" w:styleId="29">
    <w:name w:val="页脚 Char"/>
    <w:basedOn w:val="15"/>
    <w:link w:val="8"/>
    <w:qFormat/>
    <w:uiPriority w:val="99"/>
    <w:rPr>
      <w:sz w:val="18"/>
      <w:szCs w:val="18"/>
    </w:rPr>
  </w:style>
  <w:style w:type="character" w:customStyle="1" w:styleId="30">
    <w:name w:val="批注框文本 Char"/>
    <w:basedOn w:val="15"/>
    <w:link w:val="7"/>
    <w:semiHidden/>
    <w:qFormat/>
    <w:uiPriority w:val="0"/>
    <w:rPr>
      <w:sz w:val="18"/>
      <w:szCs w:val="18"/>
    </w:rPr>
  </w:style>
  <w:style w:type="character" w:customStyle="1" w:styleId="31">
    <w:name w:val="HTML 预设格式 Char"/>
    <w:basedOn w:val="15"/>
    <w:link w:val="11"/>
    <w:qFormat/>
    <w:uiPriority w:val="99"/>
    <w:rPr>
      <w:rFonts w:ascii="宋体" w:hAnsi="宋体" w:eastAsia="宋体" w:cs="宋体"/>
      <w:kern w:val="0"/>
      <w:sz w:val="24"/>
      <w:szCs w:val="24"/>
    </w:rPr>
  </w:style>
  <w:style w:type="character" w:customStyle="1" w:styleId="32">
    <w:name w:val="批注文字 Char"/>
    <w:basedOn w:val="15"/>
    <w:link w:val="6"/>
    <w:semiHidden/>
    <w:qFormat/>
    <w:uiPriority w:val="0"/>
    <w:rPr>
      <w:rFonts w:ascii="Calibri" w:hAnsi="Calibri" w:eastAsia="宋体" w:cs="Times New Roman"/>
    </w:rPr>
  </w:style>
  <w:style w:type="character" w:customStyle="1" w:styleId="33">
    <w:name w:val="标题 1 Char"/>
    <w:basedOn w:val="15"/>
    <w:link w:val="2"/>
    <w:qFormat/>
    <w:uiPriority w:val="9"/>
    <w:rPr>
      <w:rFonts w:ascii="黑体" w:hAnsi="黑体" w:eastAsia="黑体" w:cs="宋体"/>
      <w:color w:val="000000"/>
      <w:kern w:val="0"/>
      <w:sz w:val="30"/>
      <w:szCs w:val="30"/>
    </w:rPr>
  </w:style>
  <w:style w:type="character" w:customStyle="1" w:styleId="34">
    <w:name w:val="标题 2 Char"/>
    <w:basedOn w:val="15"/>
    <w:link w:val="3"/>
    <w:qFormat/>
    <w:uiPriority w:val="0"/>
    <w:rPr>
      <w:rFonts w:ascii="Cambria" w:hAnsi="Cambria" w:eastAsia="宋体" w:cs="Times New Roman"/>
      <w:b/>
      <w:bCs/>
      <w:sz w:val="32"/>
      <w:szCs w:val="32"/>
    </w:rPr>
  </w:style>
  <w:style w:type="character" w:customStyle="1" w:styleId="35">
    <w:name w:val="标题 3 Char"/>
    <w:basedOn w:val="15"/>
    <w:link w:val="4"/>
    <w:qFormat/>
    <w:uiPriority w:val="9"/>
    <w:rPr>
      <w:rFonts w:ascii="仿宋_GB2312" w:hAnsi="Calibri" w:eastAsia="仿宋_GB2312" w:cs="Times New Roman"/>
      <w:sz w:val="30"/>
      <w:szCs w:val="30"/>
    </w:rPr>
  </w:style>
  <w:style w:type="character" w:customStyle="1" w:styleId="36">
    <w:name w:val="脚注文本 Char"/>
    <w:basedOn w:val="15"/>
    <w:semiHidden/>
    <w:qFormat/>
    <w:uiPriority w:val="99"/>
    <w:rPr>
      <w:kern w:val="2"/>
      <w:sz w:val="18"/>
      <w:szCs w:val="18"/>
    </w:rPr>
  </w:style>
  <w:style w:type="character" w:customStyle="1" w:styleId="37">
    <w:name w:val="脚注文本 Char1"/>
    <w:basedOn w:val="15"/>
    <w:link w:val="10"/>
    <w:semiHidden/>
    <w:qFormat/>
    <w:uiPriority w:val="0"/>
    <w:rPr>
      <w:rFonts w:ascii="Times New Roman" w:hAnsi="Times New Roman"/>
      <w:sz w:val="18"/>
      <w:szCs w:val="18"/>
    </w:rPr>
  </w:style>
  <w:style w:type="character" w:customStyle="1" w:styleId="38">
    <w:name w:val="标题 4 Char Char"/>
    <w:qFormat/>
    <w:uiPriority w:val="0"/>
    <w:rPr>
      <w:rFonts w:ascii="Calibri" w:hAnsi="Calibri"/>
      <w:b/>
      <w:bCs/>
      <w:sz w:val="28"/>
      <w:szCs w:val="28"/>
      <w:lang w:eastAsia="en-US" w:bidi="en-US"/>
    </w:rPr>
  </w:style>
  <w:style w:type="character" w:customStyle="1" w:styleId="39">
    <w:name w:val="文档结构图 Char"/>
    <w:basedOn w:val="15"/>
    <w:link w:val="5"/>
    <w:qFormat/>
    <w:uiPriority w:val="0"/>
    <w:rPr>
      <w:rFonts w:ascii="宋体"/>
      <w:sz w:val="18"/>
      <w:szCs w:val="18"/>
    </w:rPr>
  </w:style>
  <w:style w:type="character" w:customStyle="1" w:styleId="40">
    <w:name w:val="批注文字 Char1"/>
    <w:basedOn w:val="15"/>
    <w:semiHidden/>
    <w:qFormat/>
    <w:uiPriority w:val="99"/>
    <w:rPr>
      <w:kern w:val="2"/>
      <w:sz w:val="21"/>
      <w:szCs w:val="22"/>
    </w:rPr>
  </w:style>
  <w:style w:type="character" w:customStyle="1" w:styleId="41">
    <w:name w:val="Intense Emphasis"/>
    <w:basedOn w:val="15"/>
    <w:qFormat/>
    <w:uiPriority w:val="21"/>
    <w:rPr>
      <w:b/>
      <w:bCs/>
      <w:i/>
      <w:iCs/>
      <w:color w:val="4F81BD"/>
    </w:rPr>
  </w:style>
  <w:style w:type="character" w:customStyle="1" w:styleId="42">
    <w:name w:val="文档结构图 Char1"/>
    <w:basedOn w:val="15"/>
    <w:semiHidden/>
    <w:qFormat/>
    <w:uiPriority w:val="99"/>
    <w:rPr>
      <w:rFonts w:ascii="宋体" w:eastAsia="宋体"/>
      <w:sz w:val="18"/>
      <w:szCs w:val="18"/>
    </w:rPr>
  </w:style>
  <w:style w:type="character" w:customStyle="1" w:styleId="43">
    <w:name w:val="脚注文本 Char2"/>
    <w:basedOn w:val="1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3697</Words>
  <Characters>4014</Characters>
  <Lines>19</Lines>
  <Paragraphs>5</Paragraphs>
  <TotalTime>0</TotalTime>
  <ScaleCrop>false</ScaleCrop>
  <LinksUpToDate>false</LinksUpToDate>
  <CharactersWithSpaces>4174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2020-02-27T04:04:00Z</dcterms:created>
  <dc:creator>裴建君2</dc:creator>
  <cp:lastModifiedBy>丁蒙/办公室/南宁/PBC</cp:lastModifiedBy>
  <cp:lastPrinted>2019-06-11T06:57:00Z</cp:lastPrinted>
  <dcterms:modified xsi:type="dcterms:W3CDTF">2023-08-30T09:47:07Z</dcterms:modified>
  <dc:title>编号：57016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6E577B1231D94D90B7CA1041DB19D0F9_12</vt:lpwstr>
  </property>
</Properties>
</file>