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编号：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 xml:space="preserve">000171106003               </w:t>
      </w: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52"/>
          <w:szCs w:val="52"/>
        </w:rPr>
      </w:pP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52"/>
          <w:szCs w:val="52"/>
        </w:rPr>
      </w:pPr>
      <w:r>
        <w:rPr>
          <w:rFonts w:ascii="Times New Roman" w:hAnsi="Times New Roman" w:eastAsia="黑体" w:cs="Times New Roman"/>
          <w:color w:val="auto"/>
          <w:sz w:val="52"/>
          <w:szCs w:val="52"/>
        </w:rPr>
        <w:t>“</w:t>
      </w:r>
      <w:r>
        <w:rPr>
          <w:rFonts w:hint="eastAsia" w:ascii="Times New Roman" w:hAnsi="Times New Roman" w:eastAsia="黑体" w:cs="Times New Roman"/>
          <w:color w:val="auto"/>
          <w:sz w:val="52"/>
          <w:szCs w:val="52"/>
        </w:rPr>
        <w:t>分局办理的机构提取规定金额以上外币现钞出境核准</w:t>
      </w:r>
      <w:r>
        <w:rPr>
          <w:rFonts w:ascii="Times New Roman" w:hAnsi="Times New Roman" w:eastAsia="黑体" w:cs="Times New Roman"/>
          <w:color w:val="auto"/>
          <w:sz w:val="52"/>
          <w:szCs w:val="52"/>
        </w:rPr>
        <w:t>”行政审批服务指南</w:t>
      </w: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52"/>
          <w:szCs w:val="52"/>
        </w:rPr>
      </w:pP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52"/>
          <w:szCs w:val="52"/>
        </w:rPr>
      </w:pP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52"/>
          <w:szCs w:val="52"/>
        </w:rPr>
      </w:pP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52"/>
          <w:szCs w:val="52"/>
        </w:rPr>
      </w:pP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52"/>
          <w:szCs w:val="52"/>
        </w:rPr>
      </w:pPr>
    </w:p>
    <w:p>
      <w:pPr>
        <w:ind w:right="300"/>
        <w:jc w:val="center"/>
        <w:rPr>
          <w:rFonts w:hint="eastAsia" w:ascii="Times New Roman" w:hAnsi="Times New Roman" w:eastAsia="黑体" w:cs="Times New Roman"/>
          <w:color w:val="auto"/>
          <w:sz w:val="52"/>
          <w:szCs w:val="52"/>
          <w:lang w:val="en-US" w:eastAsia="zh-CN"/>
        </w:rPr>
      </w:pPr>
    </w:p>
    <w:p>
      <w:pPr>
        <w:ind w:right="300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pStyle w:val="28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t>国家外汇管理局广西壮族自治区分局</w:t>
      </w:r>
    </w:p>
    <w:p>
      <w:pPr>
        <w:pStyle w:val="28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sz w:val="40"/>
          <w:szCs w:val="4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40"/>
          <w:szCs w:val="4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t>月</w:t>
      </w:r>
    </w:p>
    <w:p>
      <w:pPr>
        <w:ind w:right="30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both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一、项目信息</w:t>
      </w:r>
    </w:p>
    <w:p>
      <w:pPr>
        <w:adjustRightInd w:val="0"/>
        <w:snapToGrid w:val="0"/>
        <w:spacing w:line="360" w:lineRule="auto"/>
        <w:ind w:firstLine="585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项目名称：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分局办理的机构提取规定金额以上外币现钞出境核准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；</w:t>
      </w:r>
    </w:p>
    <w:p>
      <w:pPr>
        <w:adjustRightInd w:val="0"/>
        <w:snapToGrid w:val="0"/>
        <w:spacing w:line="360" w:lineRule="auto"/>
        <w:ind w:firstLine="585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项目编号：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000171106003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；</w:t>
      </w:r>
    </w:p>
    <w:p>
      <w:pPr>
        <w:adjustRightInd w:val="0"/>
        <w:snapToGrid w:val="0"/>
        <w:spacing w:line="360" w:lineRule="auto"/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审批类别：行政许可。</w:t>
      </w:r>
    </w:p>
    <w:p>
      <w:pPr>
        <w:adjustRightInd w:val="0"/>
        <w:snapToGrid w:val="0"/>
        <w:spacing w:line="360" w:lineRule="auto"/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二、适用范围</w:t>
      </w:r>
    </w:p>
    <w:p>
      <w:pPr>
        <w:adjustRightInd w:val="0"/>
        <w:snapToGrid w:val="0"/>
        <w:spacing w:line="360" w:lineRule="auto"/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本指南适用于“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分局办理的机构提取规定金额以上外币现钞出境核准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”的申请和办理。</w:t>
      </w:r>
    </w:p>
    <w:p>
      <w:pPr>
        <w:adjustRightInd w:val="0"/>
        <w:snapToGrid w:val="0"/>
        <w:spacing w:line="360" w:lineRule="auto"/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三、设定依据</w:t>
      </w:r>
    </w:p>
    <w:p>
      <w:pPr>
        <w:adjustRightInd w:val="0"/>
        <w:snapToGrid w:val="0"/>
        <w:spacing w:line="360" w:lineRule="auto"/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《国务院对确需保留的行政审批项目设定行政许可的决定》附件第495项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。</w:t>
      </w:r>
    </w:p>
    <w:p>
      <w:pPr>
        <w:widowControl w:val="0"/>
        <w:wordWrap/>
        <w:adjustRightInd w:val="0"/>
        <w:snapToGrid w:val="0"/>
        <w:spacing w:line="360" w:lineRule="auto"/>
        <w:ind w:left="0" w:leftChars="0" w:right="0" w:firstLine="600" w:firstLineChars="200"/>
        <w:jc w:val="both"/>
        <w:textAlignment w:val="auto"/>
        <w:outlineLvl w:val="9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四、办理依据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（一）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《经常项目外汇业务指引（2020年版）》（汇发〔2020〕14号文印发）第八十二条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（二）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国家外汇管理局行政许可实施办法》（国家外汇管理局公告2021年第1号）全文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五、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受理机构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申请人注册所在地国家外汇管理局分局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六、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决定机构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申请人注册所在地国家外汇管理局分局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七、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审批数量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无数量限制。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八、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办事条件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及依据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楷体_GB2312" w:hAnsi="楷体_GB2312" w:eastAsia="楷体_GB2312" w:cs="楷体_GB2312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</w:rPr>
        <w:t>准予行政许可的条件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申请人为境内机构，有提取外币现钞交易的真实性、合法性和必要性。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楷体_GB2312" w:hAnsi="楷体_GB2312" w:eastAsia="楷体_GB2312" w:cs="楷体_GB2312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</w:rPr>
        <w:t>规定行政许可条件的依据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《经常项目外汇业务指引（2020年版）》（汇发〔2020〕14号文印发）第八十二条第二款……除上述规定情况外，确需提取外币现钞的交易，应向所在地外汇局提交交易真实性、合法性和必要性的说明材料，办理登记手续……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申请材料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  <w:t>（一）申请材料名称</w:t>
      </w:r>
    </w:p>
    <w:tbl>
      <w:tblPr>
        <w:tblStyle w:val="15"/>
        <w:tblW w:w="86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770"/>
        <w:gridCol w:w="1134"/>
        <w:gridCol w:w="992"/>
        <w:gridCol w:w="2314"/>
        <w:gridCol w:w="9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提交材料名称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原件/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复印件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份数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营业执照（统一社会信用代码证）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原件或复印件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复印件需加盖企业公章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7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交易真实性、合法性和必要性的说明材料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原件和复印件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各1份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验原件，留存复印件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复印件需加盖企业公章</w:t>
            </w:r>
          </w:p>
        </w:tc>
      </w:tr>
    </w:tbl>
    <w:p>
      <w:pPr>
        <w:adjustRightInd w:val="0"/>
        <w:snapToGrid w:val="0"/>
        <w:spacing w:line="360" w:lineRule="auto"/>
        <w:ind w:firstLine="600" w:firstLineChars="200"/>
        <w:rPr>
          <w:rFonts w:hint="eastAsia" w:ascii="楷体_GB2312" w:hAnsi="楷体_GB2312" w:eastAsia="楷体_GB2312" w:cs="楷体_GB2312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</w:rPr>
        <w:t>规定申请材料的依据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《国家外汇管理局行政许可实施办法》（国家外汇管理局公告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2021年第1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号）第八条……申请人为机构的，应出示统一社会信用代码证或营业执照原件，或加盖公章的上述证件复印件……。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《经常项目外汇业务指引（2020年版）》（汇发〔2020〕14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号文印发）第八十二条第二款……除上述规定情况外，确需提取外币现钞的交易，应向所在地外汇局提交交易真实性、合法性和必要性的说明材料，办理登记手续……。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十、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申请接受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申请人可通过注册所在地国家外汇管理局分局提交申请。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十一、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基本办理流程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楷体_GB2312" w:hAnsi="楷体_GB2312" w:eastAsia="楷体_GB2312" w:cs="楷体_GB2312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</w:rPr>
        <w:t>申请人申请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</w:rPr>
        <w:t>审批机构受理/不予受理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申请事项属于本局职责范围，但依法不需要取得行政许可的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即时告知不受理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，出具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不予受理行政许可通知书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；</w:t>
      </w:r>
    </w:p>
    <w:p>
      <w:pPr>
        <w:adjustRightInd w:val="0"/>
        <w:snapToGrid w:val="0"/>
        <w:spacing w:line="360" w:lineRule="auto"/>
        <w:ind w:firstLine="600"/>
        <w:jc w:val="left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申请事项不属于本局职责范围，即时作出不予受理的决定，出具不予受理行政许可通知书，并告知申请人向有关行政机关申请；</w:t>
      </w:r>
    </w:p>
    <w:p>
      <w:pPr>
        <w:widowControl w:val="0"/>
        <w:wordWrap/>
        <w:adjustRightInd w:val="0"/>
        <w:snapToGrid w:val="0"/>
        <w:spacing w:line="360" w:lineRule="auto"/>
        <w:ind w:left="0" w:leftChars="0" w:right="0" w:firstLine="600" w:firstLine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申请材料不齐全或不符合法定形式的，当场或在收到申请材料之日起5个工作日内作出要求补正材料的决定，出具补正告知书，一次性告知需要补正的全部内容。申请人拒不补正，或者自补正告知书送达之日起30日内未能提交全部且符合法定形式的补正材料的，不予受理，出具不予受理行政许可通知书。</w:t>
      </w:r>
    </w:p>
    <w:p>
      <w:pPr>
        <w:widowControl w:val="0"/>
        <w:wordWrap/>
        <w:adjustRightInd w:val="0"/>
        <w:snapToGrid w:val="0"/>
        <w:spacing w:line="360" w:lineRule="auto"/>
        <w:ind w:left="0" w:leftChars="0" w:right="0" w:firstLine="600" w:firstLine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申请事项属于本局职责范围，申请材料齐全、符合法定形式，或申请人按照要求提交全部补正申请材料的，受理行政许可申请，出具行政许可受理通知书。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楷体_GB2312" w:hAnsi="楷体_GB2312" w:eastAsia="楷体_GB2312" w:cs="楷体_GB2312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  <w:t>（三）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</w:rPr>
        <w:t>审批机构审查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楷体_GB2312" w:hAnsi="楷体_GB2312" w:eastAsia="楷体_GB2312" w:cs="楷体_GB2312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  <w:t>（四）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</w:rPr>
        <w:t>决定作出许可决定书/不予许可决定书。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申请符合法定条件、拟准予行政许可的，出具准予行政许可的书面决定；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申请不符合法定条件、拟不予行政许可的，出具不予行政许可决定书，并说明不予行政许可的理由。申请人享有依法申请行政复议的权利。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十二、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办理方式</w:t>
      </w:r>
    </w:p>
    <w:p>
      <w:pPr>
        <w:adjustRightInd w:val="0"/>
        <w:snapToGrid w:val="0"/>
        <w:spacing w:line="360" w:lineRule="auto"/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一般程序：申请、受理、审查、决定。</w:t>
      </w:r>
    </w:p>
    <w:p>
      <w:pPr>
        <w:adjustRightInd w:val="0"/>
        <w:snapToGrid w:val="0"/>
        <w:spacing w:line="360" w:lineRule="auto"/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当场决定：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能当场作出决定的，应当场作出行政许可决定。当场作出行政许可决定的，可不出具行政许可受理通知书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十三、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受理和审批时限</w:t>
      </w:r>
    </w:p>
    <w:p>
      <w:pPr>
        <w:adjustRightInd w:val="0"/>
        <w:snapToGrid w:val="0"/>
        <w:spacing w:line="360" w:lineRule="auto"/>
        <w:ind w:firstLine="585"/>
        <w:rPr>
          <w:rFonts w:hint="eastAsia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（一）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承诺受理时限：5个工作日</w:t>
      </w:r>
    </w:p>
    <w:p>
      <w:pPr>
        <w:adjustRightInd w:val="0"/>
        <w:snapToGrid w:val="0"/>
        <w:spacing w:line="360" w:lineRule="auto"/>
        <w:ind w:firstLine="585"/>
        <w:rPr>
          <w:rFonts w:hint="eastAsia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（二）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承诺审批时限：20个工作日</w:t>
      </w:r>
    </w:p>
    <w:p>
      <w:pPr>
        <w:adjustRightInd w:val="0"/>
        <w:snapToGrid w:val="0"/>
        <w:spacing w:line="360" w:lineRule="auto"/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十四、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审批收费依据及标准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（一）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办理行政许可是否收费：否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（二）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收费项目的名称、收费项目的标准、设定收费项目的依据、规定收费标准的依据：无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十五、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审批结果</w:t>
      </w:r>
    </w:p>
    <w:p>
      <w:pPr>
        <w:adjustRightInd w:val="0"/>
        <w:snapToGrid w:val="0"/>
        <w:spacing w:line="360" w:lineRule="auto"/>
        <w:ind w:firstLine="600"/>
        <w:rPr>
          <w:rFonts w:hint="eastAsia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（一）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审批结果类型：批文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00"/>
        <w:rPr>
          <w:rFonts w:hint="eastAsia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（二）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审批结果名称：经常项目外汇业务核准件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00"/>
        <w:rPr>
          <w:rFonts w:hint="eastAsia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（三）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审批结果的有效期限：无期限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十六、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结果送达</w:t>
      </w:r>
    </w:p>
    <w:p>
      <w:pPr>
        <w:adjustRightInd w:val="0"/>
        <w:snapToGrid w:val="0"/>
        <w:spacing w:line="360" w:lineRule="auto"/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通过现场告知或电话通知申请人，并通过现场领取或邮寄方式将结果送达。</w:t>
      </w:r>
    </w:p>
    <w:p>
      <w:pPr>
        <w:adjustRightInd w:val="0"/>
        <w:snapToGrid w:val="0"/>
        <w:spacing w:line="360" w:lineRule="auto"/>
        <w:ind w:firstLine="6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十七、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申请人权利和义务</w:t>
      </w:r>
    </w:p>
    <w:p>
      <w:pPr>
        <w:adjustRightInd w:val="0"/>
        <w:snapToGrid w:val="0"/>
        <w:spacing w:line="360" w:lineRule="auto"/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申请人有权依法提出行政审批申请，依法进行投诉、举报、复议、诉讼等。申请人有义务保证申请材料完整、真实、准确，获批后合法合规办理相关业务。</w:t>
      </w:r>
    </w:p>
    <w:p>
      <w:pPr>
        <w:adjustRightInd w:val="0"/>
        <w:snapToGrid w:val="0"/>
        <w:spacing w:line="360" w:lineRule="auto"/>
        <w:ind w:firstLine="6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十八、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咨询途径、监督和投诉、公开查询等由所在地分局</w:t>
      </w:r>
      <w:bookmarkStart w:id="0" w:name="_GoBack"/>
      <w:bookmarkEnd w:id="0"/>
      <w:r>
        <w:rPr>
          <w:rFonts w:ascii="Times New Roman" w:hAnsi="Times New Roman" w:eastAsia="黑体" w:cs="Times New Roman"/>
          <w:color w:val="auto"/>
          <w:sz w:val="30"/>
          <w:szCs w:val="30"/>
        </w:rPr>
        <w:t>办理</w:t>
      </w:r>
    </w:p>
    <w:p>
      <w:pPr>
        <w:adjustRightInd w:val="0"/>
        <w:snapToGrid w:val="0"/>
        <w:spacing w:line="360" w:lineRule="auto"/>
        <w:ind w:firstLine="601"/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  <w:lang w:val="en-US" w:eastAsia="zh-CN"/>
        </w:rPr>
        <w:t>（一）咨询途径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现场咨询：广西南宁市青秀区滨湖路58号中国人民银行广西壮族自治区分行七楼704室。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电话咨询：0771-6111312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网站咨询：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国家外汇管理局广西壮族自治区分局官方网站（www.safe.gov.cn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/guangxi/）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咨询反馈栏目。</w:t>
      </w:r>
    </w:p>
    <w:p>
      <w:pPr>
        <w:adjustRightInd w:val="0"/>
        <w:snapToGrid w:val="0"/>
        <w:spacing w:line="360" w:lineRule="auto"/>
        <w:ind w:firstLine="601"/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  <w:lang w:val="en-US" w:eastAsia="zh-CN"/>
        </w:rPr>
        <w:t>（二）监督和投诉途径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电话投诉：0771-6111357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电子邮箱投诉：gxwgwg@163.com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网站投诉：国家外汇管理局广西壮族自治区分局官方网站（www.safe.gov.cn/guangxi/）咨询反馈栏目。</w:t>
      </w:r>
    </w:p>
    <w:p>
      <w:pPr>
        <w:adjustRightInd w:val="0"/>
        <w:snapToGrid w:val="0"/>
        <w:spacing w:line="360" w:lineRule="auto"/>
        <w:ind w:firstLine="601"/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  <w:lang w:eastAsia="zh-CN"/>
        </w:rPr>
        <w:t>公开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</w:rPr>
        <w:t>查询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  <w:lang w:eastAsia="zh-CN"/>
        </w:rPr>
        <w:t>途径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现场查询：广西南宁市青秀区滨湖路58号中国人民银行广西壮族自治区分行七楼704室。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电话查询：0771-6111312</w:t>
      </w:r>
    </w:p>
    <w:p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十九、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事项审查类型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前审后批。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二十、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办公地址和时间</w:t>
      </w:r>
    </w:p>
    <w:p>
      <w:pPr>
        <w:widowControl w:val="0"/>
        <w:wordWrap/>
        <w:adjustRightInd w:val="0"/>
        <w:snapToGrid w:val="0"/>
        <w:spacing w:line="360" w:lineRule="auto"/>
        <w:ind w:left="0" w:leftChars="0" w:firstLine="600" w:firstLineChars="200"/>
        <w:jc w:val="both"/>
        <w:textAlignment w:val="auto"/>
        <w:outlineLvl w:val="9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办公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地址：广西南宁市青秀区滨湖路58号中国人民银行广西壮族自治区分行</w:t>
      </w:r>
      <w:r>
        <w:rPr>
          <w:rFonts w:hint="eastAsia" w:ascii="仿宋_GB2312" w:hAnsi="Times New Roman" w:eastAsia="仿宋_GB2312"/>
          <w:color w:val="auto"/>
          <w:sz w:val="30"/>
          <w:szCs w:val="30"/>
          <w:lang w:eastAsia="zh-CN"/>
        </w:rPr>
        <w:t>七楼704室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。</w:t>
      </w:r>
    </w:p>
    <w:p>
      <w:pPr>
        <w:widowControl w:val="0"/>
        <w:wordWrap/>
        <w:adjustRightInd w:val="0"/>
        <w:snapToGrid w:val="0"/>
        <w:spacing w:line="360" w:lineRule="auto"/>
        <w:ind w:left="0" w:leftChars="0" w:firstLine="600" w:firstLineChars="200"/>
        <w:jc w:val="both"/>
        <w:textAlignment w:val="auto"/>
        <w:outlineLvl w:val="9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  <w:lang w:eastAsia="zh-CN"/>
        </w:rPr>
        <w:t>办公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 xml:space="preserve">时间：工作日，上午：08:30-12:00，下午：14:30-17:30。 </w:t>
      </w:r>
    </w:p>
    <w:p>
      <w:pPr>
        <w:ind w:right="600"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二十一、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常见问题解答</w:t>
      </w:r>
    </w:p>
    <w:p>
      <w:pPr>
        <w:adjustRightInd w:val="0"/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0"/>
          <w:szCs w:val="30"/>
        </w:rPr>
        <w:t>受理后几个工作日能办结？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根据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《国家外汇管理局行政许可实施办法》（国家外汇管理局公告2021年第1号）第十五条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，对于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不能当场作出决定的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行政许可事项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，应自受理之日起20个工作日内作出决定；20个工作日内不能作出决定的，经本级外汇局局长或者主管副局长批准，可延长10个工作日，并向申请人出具延长行政许可办理期限通知书，说明延长期限的理由。行政许可办理期限只能延长一次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二十二、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常见错误示例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汇路通畅，但申请提取外币现钞。</w:t>
      </w:r>
    </w:p>
    <w:p>
      <w:pPr>
        <w:ind w:right="300" w:firstLine="600"/>
        <w:rPr>
          <w:rFonts w:ascii="Times New Roman" w:hAnsi="Times New Roman" w:eastAsia="仿宋_GB2312" w:cs="Times New Roman"/>
          <w:color w:val="auto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right="3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附录</w:t>
      </w: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基本流程图</w:t>
      </w:r>
    </w:p>
    <w:p>
      <w:pPr>
        <w:adjustRightInd w:val="0"/>
        <w:snapToGrid w:val="0"/>
        <w:spacing w:line="360" w:lineRule="auto"/>
        <w:ind w:firstLine="585"/>
        <w:rPr>
          <w:color w:val="auto"/>
        </w:rPr>
      </w:pPr>
      <w:r>
        <w:rPr>
          <w:rFonts w:ascii="Calibri" w:hAnsi="Calibri" w:eastAsia="宋体" w:cs="黑体"/>
          <w:color w:val="auto"/>
          <w:kern w:val="2"/>
          <w:sz w:val="21"/>
          <w:szCs w:val="22"/>
          <w:lang w:val="en-US" w:eastAsia="zh-CN" w:bidi="ar-SA"/>
        </w:rPr>
        <w:pict>
          <v:group id="Group 28" o:spid="_x0000_s2050" o:spt="203" style="position:absolute;left:0pt;margin-left:-37.5pt;margin-top:34.6pt;height:473.85pt;width:461.45pt;z-index:251659264;mso-width-relative:page;mso-height-relative:page;" coordorigin="1050,3380" coordsize="9229,9477">
            <o:lock v:ext="edit" position="f" selection="f" grouping="f" rotation="f" cropping="f" text="f" aspectratio="f"/>
            <v:shape id="AutoShape 329" o:spid="_x0000_s2051" o:spt="32" type="#_x0000_t32" style="position:absolute;left:2612;top:4552;height:1468;width:17;" fillcolor="#FFFFFF" filled="t" o:preferrelative="t" stroked="t" coordsize="21600,21600">
              <v:path arrowok="t"/>
              <v:fill on="t" focussize="0,0"/>
              <v:stroke color="#000000" color2="#FFFFF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shape id="AutoShape 330" o:spid="_x0000_s2052" o:spt="32" type="#_x0000_t32" style="position:absolute;left:4275;top:5903;height:1;width:564;" fillcolor="#FFFFFF" filled="t" o:preferrelative="t" stroked="t" coordsize="21600,21600">
              <v:path arrowok="t"/>
              <v:fill on="t" focussize="0,0"/>
              <v:stroke color="#000000" color2="#FFFFF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shape id="AutoShape 331" o:spid="_x0000_s2053" o:spt="32" type="#_x0000_t32" style="position:absolute;left:4275;top:6752;height:1;width:564;" fillcolor="#FFFFFF" filled="t" o:preferrelative="t" stroked="t" coordsize="21600,21600">
              <v:path arrowok="t"/>
              <v:fill on="t" focussize="0,0"/>
              <v:stroke color="#000000" color2="#FFFFF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shape id="AutoShape 332" o:spid="_x0000_s2054" o:spt="32" type="#_x0000_t32" style="position:absolute;left:8707;top:5320;flip:y;height:895;width:1;" fillcolor="#FFFFFF" filled="t" o:preferrelative="t" stroked="t" coordsize="21600,21600">
              <v:path arrowok="t"/>
              <v:fill on="t" focussize="0,0"/>
              <v:stroke color="#000000" color2="#FFFFF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shape id="AutoShape 333" o:spid="_x0000_s2055" o:spt="32" type="#_x0000_t32" style="position:absolute;left:2629;top:5005;flip:x;height:1;width:4643;" fillcolor="#FFFFFF" filled="t" o:preferrelative="t" stroked="t" coordsize="21600,21600">
              <v:path arrowok="t"/>
              <v:fill on="t" focussize="0,0"/>
              <v:stroke color="#000000" color2="#FFFFF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shape id="AutoShape 334" o:spid="_x0000_s2056" o:spt="32" type="#_x0000_t32" style="position:absolute;left:5002;top:9276;height:437;width:0;" fillcolor="#FFFFFF" filled="t" o:preferrelative="t" stroked="t" coordsize="21600,21600">
              <v:path arrowok="t"/>
              <v:fill on="t" focussize="0,0"/>
              <v:stroke color="#000000" color2="#FFFFF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shape id="AutoShape 335" o:spid="_x0000_s2057" o:spt="32" type="#_x0000_t32" style="position:absolute;left:4986;top:11195;height:905;width:1;" fillcolor="#FFFFFF" filled="t" o:preferrelative="t" stroked="t" coordsize="21600,21600">
              <v:path arrowok="t"/>
              <v:fill on="t" focussize="0,0"/>
              <v:stroke color="#000000" color2="#FFFFF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shape id="AutoShape 336" o:spid="_x0000_s2058" o:spt="32" type="#_x0000_t32" style="position:absolute;left:2627;top:7405;height:1391;width:0;" fillcolor="#FFFFFF" filled="t" o:preferrelative="t" stroked="t" coordsize="21600,21600">
              <v:path arrowok="t"/>
              <v:fill on="t" focussize="0,0"/>
              <v:stroke color="#000000" color2="#FFFFFF" miterlimit="2"/>
              <v:imagedata gain="65536f" blacklevel="0f" gamma="0" o:title=""/>
              <o:lock v:ext="edit" position="f" selection="f" grouping="f" rotation="f" cropping="f" text="f" aspectratio="f"/>
            </v:shape>
            <v:shape id="AutoShape 337" o:spid="_x0000_s2059" o:spt="32" type="#_x0000_t32" style="position:absolute;left:2627;top:8811;height:0;width:822;" fillcolor="#FFFFFF" filled="t" o:preferrelative="t" stroked="t" coordsize="21600,21600">
              <v:path arrowok="t"/>
              <v:fill on="t" focussize="0,0"/>
              <v:stroke color="#000000" color2="#FFFFF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shape id="AutoShape 338" o:spid="_x0000_s2060" o:spt="110" type="#_x0000_t110" style="position:absolute;left:1050;top:5387;height:2007;width:3127;" fillcolor="#FFFFFF" filled="t" o:preferrelative="t" stroked="t" coordsize="21600,21600">
              <v:path/>
              <v:fill on="t" focussize="0,0"/>
              <v:stroke color="#000000" color2="#FFFFF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adjustRightInd w:val="0"/>
                      <w:snapToGrid w:val="0"/>
                    </w:pPr>
                    <w:r>
                      <w:rPr>
                        <w:rFonts w:hint="eastAsia"/>
                      </w:rPr>
                      <w:t>接件并于</w:t>
                    </w:r>
                    <w:r>
                      <w:rPr>
                        <w:rFonts w:ascii="Times New Roman" w:hAnsi="Times New Roman" w:cs="Times New Roman"/>
                      </w:rPr>
                      <w:t>5</w:t>
                    </w:r>
                    <w:r>
                      <w:rPr>
                        <w:rFonts w:hint="eastAsia"/>
                      </w:rPr>
                      <w:t>个工作日作出是否受理决定</w:t>
                    </w:r>
                  </w:p>
                </w:txbxContent>
              </v:textbox>
            </v:shape>
            <v:shape id="AutoShape 339" o:spid="_x0000_s2061" o:spt="32" type="#_x0000_t32" style="position:absolute;left:4290;top:5933;height:804;width:0;" fillcolor="#FFFFFF" filled="t" o:preferrelative="t" stroked="t" coordsize="21600,21600">
              <v:path arrowok="t"/>
              <v:fill on="t" focussize="0,0"/>
              <v:stroke color="#000000" color2="#FFFFFF" miterlimit="2"/>
              <v:imagedata gain="65536f" blacklevel="0f" gamma="0" o:title=""/>
              <o:lock v:ext="edit" position="f" selection="f" grouping="f" rotation="f" cropping="f" text="f" aspectratio="f"/>
            </v:shape>
            <v:rect id="Rectangle 341" o:spid="_x0000_s2062" o:spt="1" style="position:absolute;left:7272;top:4573;height:720;width:2929;" fillcolor="#FFFFFF" filled="t" o:preferrelative="t" stroked="t" coordsize="21600,21600">
              <v:path/>
              <v:fill on="t" focussize="0,0"/>
              <v:stroke color="#000000" color2="#FFFFF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r>
                      <w:rPr>
                        <w:rFonts w:hint="eastAsia"/>
                      </w:rPr>
                      <w:t>申请人补</w:t>
                    </w:r>
                    <w:r>
                      <w:rPr>
                        <w:rFonts w:hint="eastAsia"/>
                        <w:lang w:eastAsia="zh-CN"/>
                      </w:rPr>
                      <w:t>正</w:t>
                    </w:r>
                    <w:r>
                      <w:rPr>
                        <w:rFonts w:hint="eastAsia"/>
                      </w:rPr>
                      <w:t>材料</w:t>
                    </w:r>
                  </w:p>
                </w:txbxContent>
              </v:textbox>
            </v:rect>
            <v:shape id="AutoShape 342" o:spid="_x0000_s2063" o:spt="109" type="#_x0000_t109" style="position:absolute;left:4839;top:5591;height:587;width:5440;" fillcolor="#FFFFFF" filled="t" o:preferrelative="t" stroked="t" coordsize="21600,21600">
              <v:path/>
              <v:fill on="t" focussize="0,0"/>
              <v:stroke color="#000000" color2="#FFFFF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r>
                      <w:rPr>
                        <w:rFonts w:hint="eastAsia"/>
                      </w:rPr>
                      <w:t>材料不全或不符合法定形式的，一次性告知补正材料</w:t>
                    </w:r>
                  </w:p>
                </w:txbxContent>
              </v:textbox>
            </v:shape>
            <v:rect id="Rectangle 343" o:spid="_x0000_s2064" o:spt="1" style="position:absolute;left:4839;top:6592;height:811;width:5440;" fillcolor="#FFFFFF" filled="t" o:preferrelative="t" stroked="t" coordsize="21600,21600">
              <v:path/>
              <v:fill on="t" focussize="0,0"/>
              <v:stroke color="#000000" color2="#FFFFF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依法不予受理的，作出不予受理决定，出具不予受理行政许可通知书</w:t>
                    </w:r>
                  </w:p>
                </w:txbxContent>
              </v:textbox>
            </v:rect>
            <v:shape id="AutoShape 344" o:spid="_x0000_s2065" o:spt="109" type="#_x0000_t109" style="position:absolute;left:3452;top:8461;height:815;width:3227;" fillcolor="#FFFFFF" filled="t" o:preferrelative="t" stroked="t" coordsize="21600,21600">
              <v:path/>
              <v:fill on="t" focussize="0,0"/>
              <v:stroke color="#000000" color2="#FFFFF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依法应予受理的，出具行政许可受理通知书</w:t>
                    </w:r>
                  </w:p>
                </w:txbxContent>
              </v:textbox>
            </v:shape>
            <v:shape id="AutoShape 345" o:spid="_x0000_s2066" o:spt="110" type="#_x0000_t110" style="position:absolute;left:3456;top:9713;height:1444;width:3064;" fillcolor="#FFFFFF" filled="t" o:preferrelative="t" stroked="t" coordsize="21600,21600">
              <v:path/>
              <v:fill on="t" focussize="0,0"/>
              <v:stroke color="#000000" color2="#FFFFF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审查报批</w:t>
                    </w:r>
                  </w:p>
                </w:txbxContent>
              </v:textbox>
            </v:shape>
            <v:shape id="AutoShape 346" o:spid="_x0000_s2067" o:spt="109" type="#_x0000_t109" style="position:absolute;left:3452;top:12100;height:757;width:2987;" fillcolor="#FFFFFF" filled="t" o:preferrelative="t" stroked="t" coordsize="21600,21600">
              <v:path/>
              <v:fill on="t" focussize="0,0"/>
              <v:stroke color="#000000" color2="#FFFFF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r>
                      <w:rPr>
                        <w:rFonts w:hint="eastAsia"/>
                      </w:rPr>
                      <w:t>拟准予行政许可的，出具准予行政许可的书面决定</w:t>
                    </w:r>
                  </w:p>
                </w:txbxContent>
              </v:textbox>
            </v:shape>
            <v:shape id="AutoShape 347" o:spid="_x0000_s2068" o:spt="109" type="#_x0000_t109" style="position:absolute;left:7786;top:10041;height:766;width:2298;" fillcolor="#FFFFFF" filled="t" o:preferrelative="t" stroked="t" coordsize="21600,21600">
              <v:path/>
              <v:fill on="t" focussize="0,0"/>
              <v:stroke color="#000000" color2="#FFFFF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r>
                      <w:rPr>
                        <w:rFonts w:hint="eastAsia"/>
                      </w:rPr>
                      <w:t>依法出具不予行政许可决定书</w:t>
                    </w:r>
                  </w:p>
                </w:txbxContent>
              </v:textbox>
            </v:shape>
            <v:shape id="AutoShape 348" o:spid="_x0000_s2069" o:spt="32" type="#_x0000_t32" style="position:absolute;left:6520;top:10422;flip:y;height:15;width:1266;" fillcolor="#FFFFFF" filled="t" o:preferrelative="t" stroked="t" coordsize="21600,21600">
              <v:path arrowok="t"/>
              <v:fill on="t" focussize="0,0"/>
              <v:stroke color="#000000" color2="#FFFFF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shape id="AutoShape 349" o:spid="_x0000_s2070" o:spt="116" type="#_x0000_t116" style="position:absolute;left:1478;top:3380;height:1172;width:2467;" fillcolor="#FFFFFF" filled="t" o:preferrelative="t" stroked="t" coordsize="21600,21600">
              <v:path/>
              <v:fill on="t" focussize="0,0"/>
              <v:stroke color="#000000" color2="#FFFFF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r>
                      <w:rPr>
                        <w:rFonts w:hint="eastAsia"/>
                      </w:rPr>
                      <w:t>申请人现场提交材料</w:t>
                    </w:r>
                  </w:p>
                  <w:p/>
                </w:txbxContent>
              </v:textbox>
            </v:shape>
            <v:shape id="Straight Connector 49" o:spid="_x0000_s2071" o:spt="32" type="#_x0000_t32" style="position:absolute;left:4177;top:6405;height:0;width:98;" o:connectortype="straight" fillcolor="#FFFFFF" filled="f" o:preferrelative="t" stroked="t" coordsize="21600,21600">
              <v:path arrowok="t"/>
              <v:fill on="f" color2="#FFFFFF" focussize="0,0"/>
              <v:stroke color="#000000" color2="#FFFFFF" miterlimit="2"/>
              <v:imagedata gain="65536f" blacklevel="0f" gamma="0" o:title=""/>
              <o:lock v:ext="edit" position="f" selection="f" grouping="f" rotation="f" cropping="f" text="f" aspectratio="f"/>
            </v:shape>
          </v:group>
        </w:pict>
      </w: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Mono CJK JP 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DDD30B"/>
    <w:multiLevelType w:val="singleLevel"/>
    <w:tmpl w:val="64DDD30B"/>
    <w:lvl w:ilvl="0" w:tentative="0">
      <w:start w:val="9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4YjIwYjI4ZmE4OWQ2YmE1MDViYjU3ZGNiYjhlODIifQ=="/>
  </w:docVars>
  <w:rsids>
    <w:rsidRoot w:val="00AB131E"/>
    <w:rsid w:val="00003372"/>
    <w:rsid w:val="00007600"/>
    <w:rsid w:val="00022191"/>
    <w:rsid w:val="00023783"/>
    <w:rsid w:val="00041960"/>
    <w:rsid w:val="00042B58"/>
    <w:rsid w:val="00054B00"/>
    <w:rsid w:val="00055270"/>
    <w:rsid w:val="0005585E"/>
    <w:rsid w:val="00057F76"/>
    <w:rsid w:val="00062323"/>
    <w:rsid w:val="00064E9E"/>
    <w:rsid w:val="0006560A"/>
    <w:rsid w:val="00072F8A"/>
    <w:rsid w:val="000750C8"/>
    <w:rsid w:val="00080630"/>
    <w:rsid w:val="00091661"/>
    <w:rsid w:val="00092D53"/>
    <w:rsid w:val="00096CBB"/>
    <w:rsid w:val="00097F7B"/>
    <w:rsid w:val="000B1B41"/>
    <w:rsid w:val="000B6901"/>
    <w:rsid w:val="000B728B"/>
    <w:rsid w:val="000B7932"/>
    <w:rsid w:val="000C15B3"/>
    <w:rsid w:val="000C2B33"/>
    <w:rsid w:val="000D1995"/>
    <w:rsid w:val="000D7478"/>
    <w:rsid w:val="00120DFD"/>
    <w:rsid w:val="0012271F"/>
    <w:rsid w:val="00130519"/>
    <w:rsid w:val="00135BEE"/>
    <w:rsid w:val="0014667A"/>
    <w:rsid w:val="00154B58"/>
    <w:rsid w:val="00157C64"/>
    <w:rsid w:val="00157E81"/>
    <w:rsid w:val="00170126"/>
    <w:rsid w:val="00177059"/>
    <w:rsid w:val="00181D3E"/>
    <w:rsid w:val="00186BC2"/>
    <w:rsid w:val="00196FAE"/>
    <w:rsid w:val="001A3E49"/>
    <w:rsid w:val="001A72AA"/>
    <w:rsid w:val="001A7FB9"/>
    <w:rsid w:val="001B09C8"/>
    <w:rsid w:val="001B1E2C"/>
    <w:rsid w:val="001C44C7"/>
    <w:rsid w:val="001D65A2"/>
    <w:rsid w:val="001E1407"/>
    <w:rsid w:val="001F08A9"/>
    <w:rsid w:val="001F4BD4"/>
    <w:rsid w:val="001F7297"/>
    <w:rsid w:val="00205D07"/>
    <w:rsid w:val="00212F39"/>
    <w:rsid w:val="00217116"/>
    <w:rsid w:val="00231EED"/>
    <w:rsid w:val="00233841"/>
    <w:rsid w:val="002341AF"/>
    <w:rsid w:val="002343C8"/>
    <w:rsid w:val="00235736"/>
    <w:rsid w:val="00235F24"/>
    <w:rsid w:val="002417D2"/>
    <w:rsid w:val="00241FE8"/>
    <w:rsid w:val="0024527E"/>
    <w:rsid w:val="00253F7B"/>
    <w:rsid w:val="00263773"/>
    <w:rsid w:val="00263B1F"/>
    <w:rsid w:val="00281976"/>
    <w:rsid w:val="00291C17"/>
    <w:rsid w:val="0029313A"/>
    <w:rsid w:val="002A668C"/>
    <w:rsid w:val="002B0B1C"/>
    <w:rsid w:val="002B598D"/>
    <w:rsid w:val="002B61C1"/>
    <w:rsid w:val="002B7FB8"/>
    <w:rsid w:val="002E1323"/>
    <w:rsid w:val="002F2D2F"/>
    <w:rsid w:val="002F3868"/>
    <w:rsid w:val="00300EF5"/>
    <w:rsid w:val="00302119"/>
    <w:rsid w:val="00302E87"/>
    <w:rsid w:val="00307F23"/>
    <w:rsid w:val="00310261"/>
    <w:rsid w:val="00317654"/>
    <w:rsid w:val="00343044"/>
    <w:rsid w:val="00344B01"/>
    <w:rsid w:val="00353AC4"/>
    <w:rsid w:val="003616B4"/>
    <w:rsid w:val="00372FF6"/>
    <w:rsid w:val="00373EC0"/>
    <w:rsid w:val="003A090F"/>
    <w:rsid w:val="003A57B2"/>
    <w:rsid w:val="003B755F"/>
    <w:rsid w:val="003C0E26"/>
    <w:rsid w:val="003C7132"/>
    <w:rsid w:val="003D77A5"/>
    <w:rsid w:val="003E6BF6"/>
    <w:rsid w:val="003F221D"/>
    <w:rsid w:val="003F3097"/>
    <w:rsid w:val="00402AE8"/>
    <w:rsid w:val="00404C3E"/>
    <w:rsid w:val="00405FE6"/>
    <w:rsid w:val="004105BC"/>
    <w:rsid w:val="00420571"/>
    <w:rsid w:val="00421C27"/>
    <w:rsid w:val="00440A1F"/>
    <w:rsid w:val="00443603"/>
    <w:rsid w:val="00443604"/>
    <w:rsid w:val="004501EA"/>
    <w:rsid w:val="00452108"/>
    <w:rsid w:val="00460458"/>
    <w:rsid w:val="0046792D"/>
    <w:rsid w:val="004767DF"/>
    <w:rsid w:val="00493CCC"/>
    <w:rsid w:val="004A0218"/>
    <w:rsid w:val="004A7840"/>
    <w:rsid w:val="004B545A"/>
    <w:rsid w:val="004B7E80"/>
    <w:rsid w:val="004C457E"/>
    <w:rsid w:val="004C48D5"/>
    <w:rsid w:val="004D03B7"/>
    <w:rsid w:val="004D1436"/>
    <w:rsid w:val="004D57AE"/>
    <w:rsid w:val="004E6A8C"/>
    <w:rsid w:val="005056D4"/>
    <w:rsid w:val="00526B2B"/>
    <w:rsid w:val="005362B0"/>
    <w:rsid w:val="00542447"/>
    <w:rsid w:val="00564312"/>
    <w:rsid w:val="005938DE"/>
    <w:rsid w:val="005A2981"/>
    <w:rsid w:val="005C3FAA"/>
    <w:rsid w:val="005C6937"/>
    <w:rsid w:val="005C7F02"/>
    <w:rsid w:val="005D3CC1"/>
    <w:rsid w:val="005E1B5C"/>
    <w:rsid w:val="005F0A86"/>
    <w:rsid w:val="005F144A"/>
    <w:rsid w:val="005F1C00"/>
    <w:rsid w:val="0061621E"/>
    <w:rsid w:val="00630AA8"/>
    <w:rsid w:val="00630B2E"/>
    <w:rsid w:val="00643D2A"/>
    <w:rsid w:val="0066041A"/>
    <w:rsid w:val="00662122"/>
    <w:rsid w:val="00664E11"/>
    <w:rsid w:val="00673B30"/>
    <w:rsid w:val="00695601"/>
    <w:rsid w:val="00696E5D"/>
    <w:rsid w:val="006A1A06"/>
    <w:rsid w:val="006B49E8"/>
    <w:rsid w:val="006B5B86"/>
    <w:rsid w:val="006C5908"/>
    <w:rsid w:val="006C633E"/>
    <w:rsid w:val="006D56AB"/>
    <w:rsid w:val="006D734F"/>
    <w:rsid w:val="006D74BC"/>
    <w:rsid w:val="006E043F"/>
    <w:rsid w:val="006E4695"/>
    <w:rsid w:val="006E4B8B"/>
    <w:rsid w:val="006E5901"/>
    <w:rsid w:val="0071091C"/>
    <w:rsid w:val="00714961"/>
    <w:rsid w:val="0072105E"/>
    <w:rsid w:val="00744BD5"/>
    <w:rsid w:val="00745748"/>
    <w:rsid w:val="0075038F"/>
    <w:rsid w:val="00750E36"/>
    <w:rsid w:val="00753CB0"/>
    <w:rsid w:val="00755460"/>
    <w:rsid w:val="00761FB7"/>
    <w:rsid w:val="00762107"/>
    <w:rsid w:val="00764CB9"/>
    <w:rsid w:val="00765B05"/>
    <w:rsid w:val="0077269F"/>
    <w:rsid w:val="00785F45"/>
    <w:rsid w:val="007A07F1"/>
    <w:rsid w:val="007A2780"/>
    <w:rsid w:val="007A68EA"/>
    <w:rsid w:val="007B06FC"/>
    <w:rsid w:val="007B0FEF"/>
    <w:rsid w:val="007B2DB5"/>
    <w:rsid w:val="007D2C11"/>
    <w:rsid w:val="007D6171"/>
    <w:rsid w:val="007D69EA"/>
    <w:rsid w:val="007E2C7B"/>
    <w:rsid w:val="007E411B"/>
    <w:rsid w:val="007E4EC2"/>
    <w:rsid w:val="007F0863"/>
    <w:rsid w:val="007F2F3B"/>
    <w:rsid w:val="00802307"/>
    <w:rsid w:val="0082168E"/>
    <w:rsid w:val="00821968"/>
    <w:rsid w:val="00842B82"/>
    <w:rsid w:val="0084639E"/>
    <w:rsid w:val="008471B6"/>
    <w:rsid w:val="00851521"/>
    <w:rsid w:val="0085686A"/>
    <w:rsid w:val="00860878"/>
    <w:rsid w:val="008731FF"/>
    <w:rsid w:val="0087512C"/>
    <w:rsid w:val="0088294A"/>
    <w:rsid w:val="0089282A"/>
    <w:rsid w:val="008A4538"/>
    <w:rsid w:val="008A704B"/>
    <w:rsid w:val="008B08D2"/>
    <w:rsid w:val="008B4EE5"/>
    <w:rsid w:val="008B5807"/>
    <w:rsid w:val="008C3F8E"/>
    <w:rsid w:val="008D5FA0"/>
    <w:rsid w:val="008E2D38"/>
    <w:rsid w:val="008F11E4"/>
    <w:rsid w:val="008F5724"/>
    <w:rsid w:val="008F5900"/>
    <w:rsid w:val="00902633"/>
    <w:rsid w:val="009027D8"/>
    <w:rsid w:val="0090372F"/>
    <w:rsid w:val="00911E27"/>
    <w:rsid w:val="00911E9A"/>
    <w:rsid w:val="0092129A"/>
    <w:rsid w:val="00925BB2"/>
    <w:rsid w:val="00930C8C"/>
    <w:rsid w:val="009360EA"/>
    <w:rsid w:val="00947C57"/>
    <w:rsid w:val="00951149"/>
    <w:rsid w:val="00960EDB"/>
    <w:rsid w:val="009622DB"/>
    <w:rsid w:val="009664BC"/>
    <w:rsid w:val="00980F02"/>
    <w:rsid w:val="00991B77"/>
    <w:rsid w:val="00997523"/>
    <w:rsid w:val="009A0C5D"/>
    <w:rsid w:val="009A58EB"/>
    <w:rsid w:val="009C4672"/>
    <w:rsid w:val="009C491B"/>
    <w:rsid w:val="009D0911"/>
    <w:rsid w:val="009D24F8"/>
    <w:rsid w:val="009D29C7"/>
    <w:rsid w:val="009D688C"/>
    <w:rsid w:val="009F7A36"/>
    <w:rsid w:val="00A249C2"/>
    <w:rsid w:val="00A24FAB"/>
    <w:rsid w:val="00A27E4F"/>
    <w:rsid w:val="00A301E7"/>
    <w:rsid w:val="00A3068F"/>
    <w:rsid w:val="00A42E69"/>
    <w:rsid w:val="00A45CA7"/>
    <w:rsid w:val="00A51415"/>
    <w:rsid w:val="00A6014E"/>
    <w:rsid w:val="00A60356"/>
    <w:rsid w:val="00A66F2C"/>
    <w:rsid w:val="00A7644C"/>
    <w:rsid w:val="00A81DF1"/>
    <w:rsid w:val="00A90EF3"/>
    <w:rsid w:val="00AA7717"/>
    <w:rsid w:val="00AB131E"/>
    <w:rsid w:val="00AB644F"/>
    <w:rsid w:val="00AC3F5E"/>
    <w:rsid w:val="00AD3C59"/>
    <w:rsid w:val="00AE7ACF"/>
    <w:rsid w:val="00B06409"/>
    <w:rsid w:val="00B10912"/>
    <w:rsid w:val="00B16ECA"/>
    <w:rsid w:val="00B17D66"/>
    <w:rsid w:val="00B31FD9"/>
    <w:rsid w:val="00B33782"/>
    <w:rsid w:val="00B35D3A"/>
    <w:rsid w:val="00B422F1"/>
    <w:rsid w:val="00B60EA4"/>
    <w:rsid w:val="00B61A89"/>
    <w:rsid w:val="00B71531"/>
    <w:rsid w:val="00B7456C"/>
    <w:rsid w:val="00B84131"/>
    <w:rsid w:val="00B8630E"/>
    <w:rsid w:val="00B931F4"/>
    <w:rsid w:val="00B95573"/>
    <w:rsid w:val="00B96395"/>
    <w:rsid w:val="00BA2AF8"/>
    <w:rsid w:val="00BA634F"/>
    <w:rsid w:val="00BB2650"/>
    <w:rsid w:val="00BB5BDC"/>
    <w:rsid w:val="00BB7B76"/>
    <w:rsid w:val="00BC7E04"/>
    <w:rsid w:val="00BD233D"/>
    <w:rsid w:val="00BD6698"/>
    <w:rsid w:val="00BF4EF0"/>
    <w:rsid w:val="00C01775"/>
    <w:rsid w:val="00C02E44"/>
    <w:rsid w:val="00C147D2"/>
    <w:rsid w:val="00C2075F"/>
    <w:rsid w:val="00C2377A"/>
    <w:rsid w:val="00C23799"/>
    <w:rsid w:val="00C274C9"/>
    <w:rsid w:val="00C31E02"/>
    <w:rsid w:val="00C3486D"/>
    <w:rsid w:val="00C45BC1"/>
    <w:rsid w:val="00C54291"/>
    <w:rsid w:val="00C672C3"/>
    <w:rsid w:val="00C712B2"/>
    <w:rsid w:val="00C869E6"/>
    <w:rsid w:val="00C94325"/>
    <w:rsid w:val="00C97FED"/>
    <w:rsid w:val="00CA1DBB"/>
    <w:rsid w:val="00CA2622"/>
    <w:rsid w:val="00CA7F2C"/>
    <w:rsid w:val="00CA7FF8"/>
    <w:rsid w:val="00CB5DE7"/>
    <w:rsid w:val="00CC068D"/>
    <w:rsid w:val="00CC4922"/>
    <w:rsid w:val="00CD1FF6"/>
    <w:rsid w:val="00CE25C7"/>
    <w:rsid w:val="00CE3335"/>
    <w:rsid w:val="00CE4849"/>
    <w:rsid w:val="00CE5C8E"/>
    <w:rsid w:val="00CE5F49"/>
    <w:rsid w:val="00D01626"/>
    <w:rsid w:val="00D33A4D"/>
    <w:rsid w:val="00D33F76"/>
    <w:rsid w:val="00D41F5E"/>
    <w:rsid w:val="00D43DC0"/>
    <w:rsid w:val="00D54E56"/>
    <w:rsid w:val="00D6407D"/>
    <w:rsid w:val="00D93E78"/>
    <w:rsid w:val="00DA7D86"/>
    <w:rsid w:val="00DB3AE8"/>
    <w:rsid w:val="00DC4EF7"/>
    <w:rsid w:val="00DC6E91"/>
    <w:rsid w:val="00DC7514"/>
    <w:rsid w:val="00DD3845"/>
    <w:rsid w:val="00E1687A"/>
    <w:rsid w:val="00E20A2E"/>
    <w:rsid w:val="00E277DE"/>
    <w:rsid w:val="00E27C91"/>
    <w:rsid w:val="00E27EE9"/>
    <w:rsid w:val="00E3239D"/>
    <w:rsid w:val="00E3254B"/>
    <w:rsid w:val="00E3439B"/>
    <w:rsid w:val="00E42C5F"/>
    <w:rsid w:val="00E65A1B"/>
    <w:rsid w:val="00E72F1F"/>
    <w:rsid w:val="00E934AB"/>
    <w:rsid w:val="00EA06AC"/>
    <w:rsid w:val="00EA08BF"/>
    <w:rsid w:val="00EA24FB"/>
    <w:rsid w:val="00EB3204"/>
    <w:rsid w:val="00EB50BA"/>
    <w:rsid w:val="00EB5B41"/>
    <w:rsid w:val="00EC3D33"/>
    <w:rsid w:val="00ED302A"/>
    <w:rsid w:val="00ED3A42"/>
    <w:rsid w:val="00EE02BC"/>
    <w:rsid w:val="00EE6970"/>
    <w:rsid w:val="00EF38D0"/>
    <w:rsid w:val="00EF3DDF"/>
    <w:rsid w:val="00EF4A8C"/>
    <w:rsid w:val="00EF4EB8"/>
    <w:rsid w:val="00F2678C"/>
    <w:rsid w:val="00F27B38"/>
    <w:rsid w:val="00F341DD"/>
    <w:rsid w:val="00F40278"/>
    <w:rsid w:val="00F41832"/>
    <w:rsid w:val="00F43EE1"/>
    <w:rsid w:val="00F56988"/>
    <w:rsid w:val="00F5789E"/>
    <w:rsid w:val="00F620FB"/>
    <w:rsid w:val="00F64129"/>
    <w:rsid w:val="00F6571F"/>
    <w:rsid w:val="00F73AD5"/>
    <w:rsid w:val="00F755CD"/>
    <w:rsid w:val="00F8687E"/>
    <w:rsid w:val="00F91E34"/>
    <w:rsid w:val="00F93331"/>
    <w:rsid w:val="00F95549"/>
    <w:rsid w:val="00FA1E24"/>
    <w:rsid w:val="00FA24FB"/>
    <w:rsid w:val="00FA632B"/>
    <w:rsid w:val="00FB38EA"/>
    <w:rsid w:val="00FB5E0F"/>
    <w:rsid w:val="00FB6AFF"/>
    <w:rsid w:val="00FC4D8F"/>
    <w:rsid w:val="00FD06D3"/>
    <w:rsid w:val="00FE3157"/>
    <w:rsid w:val="00FE6865"/>
    <w:rsid w:val="00FE6993"/>
    <w:rsid w:val="00FE766F"/>
    <w:rsid w:val="00FF2795"/>
    <w:rsid w:val="01743A3A"/>
    <w:rsid w:val="03962A00"/>
    <w:rsid w:val="071E44EE"/>
    <w:rsid w:val="08A32F3A"/>
    <w:rsid w:val="0A845E52"/>
    <w:rsid w:val="10007ADB"/>
    <w:rsid w:val="134E0126"/>
    <w:rsid w:val="13C43A24"/>
    <w:rsid w:val="17174275"/>
    <w:rsid w:val="1A0D6FD5"/>
    <w:rsid w:val="1F832FC0"/>
    <w:rsid w:val="233367D1"/>
    <w:rsid w:val="234E0009"/>
    <w:rsid w:val="23B27F6B"/>
    <w:rsid w:val="25FE4E19"/>
    <w:rsid w:val="32DF2A5B"/>
    <w:rsid w:val="33A37500"/>
    <w:rsid w:val="34CD7060"/>
    <w:rsid w:val="3805545E"/>
    <w:rsid w:val="394E4502"/>
    <w:rsid w:val="3C5D3D49"/>
    <w:rsid w:val="46ED499D"/>
    <w:rsid w:val="4FD16B3E"/>
    <w:rsid w:val="50493E15"/>
    <w:rsid w:val="53523571"/>
    <w:rsid w:val="617918D6"/>
    <w:rsid w:val="66D815F4"/>
    <w:rsid w:val="69372AA7"/>
    <w:rsid w:val="6EC04F4B"/>
    <w:rsid w:val="74627083"/>
    <w:rsid w:val="78D33CEC"/>
    <w:rsid w:val="79843EDE"/>
    <w:rsid w:val="7CC84EFD"/>
    <w:rsid w:val="7D986B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  <o:rules v:ext="edit">
        <o:r id="V:Rule1" type="connector" idref="#AutoShape 329"/>
        <o:r id="V:Rule2" type="connector" idref="#AutoShape 330"/>
        <o:r id="V:Rule3" type="connector" idref="#AutoShape 331"/>
        <o:r id="V:Rule4" type="connector" idref="#AutoShape 332"/>
        <o:r id="V:Rule5" type="connector" idref="#AutoShape 333"/>
        <o:r id="V:Rule6" type="connector" idref="#AutoShape 334"/>
        <o:r id="V:Rule7" type="connector" idref="#AutoShape 335"/>
        <o:r id="V:Rule8" type="connector" idref="#AutoShape 336"/>
        <o:r id="V:Rule9" type="connector" idref="#AutoShape 337"/>
        <o:r id="V:Rule10" type="connector" idref="#AutoShape 339"/>
        <o:r id="V:Rule11" type="connector" idref="#AutoShape 348"/>
        <o:r id="V:Rule12" type="connector" idref="#Straight Connector 4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ind w:firstLine="600" w:firstLineChars="200"/>
      <w:outlineLvl w:val="0"/>
    </w:pPr>
    <w:rPr>
      <w:rFonts w:ascii="黑体" w:hAnsi="黑体" w:eastAsia="黑体" w:cs="宋体"/>
      <w:color w:val="000000"/>
      <w:kern w:val="0"/>
      <w:sz w:val="30"/>
      <w:szCs w:val="30"/>
    </w:rPr>
  </w:style>
  <w:style w:type="paragraph" w:styleId="3">
    <w:name w:val="heading 2"/>
    <w:basedOn w:val="1"/>
    <w:next w:val="1"/>
    <w:link w:val="35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36"/>
    <w:qFormat/>
    <w:uiPriority w:val="9"/>
    <w:pPr>
      <w:ind w:right="300"/>
      <w:outlineLvl w:val="2"/>
    </w:pPr>
    <w:rPr>
      <w:rFonts w:ascii="仿宋_GB2312" w:hAnsi="Calibri" w:eastAsia="仿宋_GB2312" w:cs="Times New Roman"/>
      <w:sz w:val="30"/>
      <w:szCs w:val="30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40"/>
    <w:unhideWhenUsed/>
    <w:qFormat/>
    <w:uiPriority w:val="0"/>
    <w:rPr>
      <w:rFonts w:ascii="宋体"/>
      <w:sz w:val="18"/>
      <w:szCs w:val="18"/>
    </w:rPr>
  </w:style>
  <w:style w:type="paragraph" w:styleId="6">
    <w:name w:val="annotation text"/>
    <w:basedOn w:val="1"/>
    <w:link w:val="33"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Balloon Text"/>
    <w:basedOn w:val="1"/>
    <w:link w:val="31"/>
    <w:unhideWhenUsed/>
    <w:qFormat/>
    <w:uiPriority w:val="0"/>
    <w:rPr>
      <w:sz w:val="18"/>
      <w:szCs w:val="18"/>
    </w:rPr>
  </w:style>
  <w:style w:type="paragraph" w:styleId="9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link w:val="38"/>
    <w:semiHidden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12">
    <w:name w:val="HTML Preformatted"/>
    <w:basedOn w:val="1"/>
    <w:link w:val="3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5">
    <w:name w:val="Table Grid"/>
    <w:basedOn w:val="1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Hyperlink"/>
    <w:basedOn w:val="16"/>
    <w:unhideWhenUsed/>
    <w:qFormat/>
    <w:uiPriority w:val="99"/>
    <w:rPr>
      <w:rFonts w:hint="default" w:ascii="ˎ̥" w:hAnsi="ˎ̥"/>
      <w:color w:val="0453CC"/>
      <w:sz w:val="20"/>
      <w:szCs w:val="20"/>
      <w:u w:val="none"/>
    </w:rPr>
  </w:style>
  <w:style w:type="character" w:styleId="18">
    <w:name w:val="annotation reference"/>
    <w:basedOn w:val="16"/>
    <w:unhideWhenUsed/>
    <w:qFormat/>
    <w:uiPriority w:val="0"/>
    <w:rPr>
      <w:sz w:val="21"/>
      <w:szCs w:val="21"/>
    </w:rPr>
  </w:style>
  <w:style w:type="character" w:styleId="19">
    <w:name w:val="footnote reference"/>
    <w:unhideWhenUsed/>
    <w:qFormat/>
    <w:uiPriority w:val="0"/>
    <w:rPr>
      <w:rFonts w:ascii="Times New Roman" w:hAnsi="Times New Roman" w:cs="Times New Roman"/>
      <w:vertAlign w:val="superscript"/>
    </w:rPr>
  </w:style>
  <w:style w:type="paragraph" w:customStyle="1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22">
    <w:name w:val="juzhong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Revision"/>
    <w:hidden/>
    <w:semiHidden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5">
    <w:name w:val="列出段落4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paragraph" w:customStyle="1" w:styleId="26">
    <w:name w:val="列出段落3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7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paragraph" w:customStyle="1" w:styleId="28">
    <w:name w:val="Heading 1"/>
    <w:basedOn w:val="1"/>
    <w:qFormat/>
    <w:uiPriority w:val="1"/>
    <w:pPr>
      <w:spacing w:line="541" w:lineRule="exact"/>
      <w:ind w:left="1919" w:right="2017"/>
      <w:jc w:val="center"/>
      <w:outlineLvl w:val="1"/>
    </w:pPr>
    <w:rPr>
      <w:rFonts w:ascii="Noto Sans Mono CJK JP Regular" w:hAnsi="Noto Sans Mono CJK JP Regular" w:eastAsia="Noto Sans Mono CJK JP Regular" w:cs="Noto Sans Mono CJK JP Regular"/>
      <w:sz w:val="36"/>
      <w:szCs w:val="36"/>
    </w:rPr>
  </w:style>
  <w:style w:type="character" w:customStyle="1" w:styleId="29">
    <w:name w:val="页眉 Char"/>
    <w:basedOn w:val="16"/>
    <w:link w:val="10"/>
    <w:qFormat/>
    <w:uiPriority w:val="99"/>
    <w:rPr>
      <w:sz w:val="18"/>
      <w:szCs w:val="18"/>
    </w:rPr>
  </w:style>
  <w:style w:type="character" w:customStyle="1" w:styleId="30">
    <w:name w:val="页脚 Char"/>
    <w:basedOn w:val="16"/>
    <w:link w:val="9"/>
    <w:qFormat/>
    <w:uiPriority w:val="99"/>
    <w:rPr>
      <w:sz w:val="18"/>
      <w:szCs w:val="18"/>
    </w:rPr>
  </w:style>
  <w:style w:type="character" w:customStyle="1" w:styleId="31">
    <w:name w:val="批注框文本 Char"/>
    <w:basedOn w:val="16"/>
    <w:link w:val="8"/>
    <w:semiHidden/>
    <w:qFormat/>
    <w:uiPriority w:val="0"/>
    <w:rPr>
      <w:sz w:val="18"/>
      <w:szCs w:val="18"/>
    </w:rPr>
  </w:style>
  <w:style w:type="character" w:customStyle="1" w:styleId="32">
    <w:name w:val="HTML 预设格式 Char"/>
    <w:basedOn w:val="16"/>
    <w:link w:val="12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3">
    <w:name w:val="批注文字 Char"/>
    <w:basedOn w:val="16"/>
    <w:link w:val="6"/>
    <w:semiHidden/>
    <w:qFormat/>
    <w:uiPriority w:val="0"/>
    <w:rPr>
      <w:rFonts w:ascii="Calibri" w:hAnsi="Calibri" w:eastAsia="宋体" w:cs="Times New Roman"/>
    </w:rPr>
  </w:style>
  <w:style w:type="character" w:customStyle="1" w:styleId="34">
    <w:name w:val="标题 1 Char"/>
    <w:basedOn w:val="16"/>
    <w:link w:val="2"/>
    <w:qFormat/>
    <w:uiPriority w:val="9"/>
    <w:rPr>
      <w:rFonts w:ascii="黑体" w:hAnsi="黑体" w:eastAsia="黑体" w:cs="宋体"/>
      <w:color w:val="000000"/>
      <w:kern w:val="0"/>
      <w:sz w:val="30"/>
      <w:szCs w:val="30"/>
    </w:rPr>
  </w:style>
  <w:style w:type="character" w:customStyle="1" w:styleId="35">
    <w:name w:val="标题 2 Char"/>
    <w:basedOn w:val="16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36">
    <w:name w:val="标题 3 Char"/>
    <w:basedOn w:val="16"/>
    <w:link w:val="4"/>
    <w:qFormat/>
    <w:uiPriority w:val="9"/>
    <w:rPr>
      <w:rFonts w:ascii="仿宋_GB2312" w:hAnsi="Calibri" w:eastAsia="仿宋_GB2312" w:cs="Times New Roman"/>
      <w:sz w:val="30"/>
      <w:szCs w:val="30"/>
    </w:rPr>
  </w:style>
  <w:style w:type="character" w:customStyle="1" w:styleId="37">
    <w:name w:val="脚注文本 Char"/>
    <w:basedOn w:val="16"/>
    <w:semiHidden/>
    <w:qFormat/>
    <w:uiPriority w:val="99"/>
    <w:rPr>
      <w:kern w:val="2"/>
      <w:sz w:val="18"/>
      <w:szCs w:val="18"/>
    </w:rPr>
  </w:style>
  <w:style w:type="character" w:customStyle="1" w:styleId="38">
    <w:name w:val="脚注文本 Char1"/>
    <w:basedOn w:val="16"/>
    <w:link w:val="11"/>
    <w:semiHidden/>
    <w:qFormat/>
    <w:uiPriority w:val="0"/>
    <w:rPr>
      <w:rFonts w:ascii="Times New Roman" w:hAnsi="Times New Roman"/>
      <w:sz w:val="18"/>
      <w:szCs w:val="18"/>
    </w:rPr>
  </w:style>
  <w:style w:type="character" w:customStyle="1" w:styleId="39">
    <w:name w:val="标题 4 Char Char"/>
    <w:qFormat/>
    <w:uiPriority w:val="0"/>
    <w:rPr>
      <w:rFonts w:ascii="Calibri" w:hAnsi="Calibri"/>
      <w:b/>
      <w:bCs/>
      <w:sz w:val="28"/>
      <w:szCs w:val="28"/>
      <w:lang w:eastAsia="en-US" w:bidi="en-US"/>
    </w:rPr>
  </w:style>
  <w:style w:type="character" w:customStyle="1" w:styleId="40">
    <w:name w:val="文档结构图 Char"/>
    <w:basedOn w:val="16"/>
    <w:link w:val="5"/>
    <w:qFormat/>
    <w:uiPriority w:val="0"/>
    <w:rPr>
      <w:rFonts w:ascii="宋体"/>
      <w:sz w:val="18"/>
      <w:szCs w:val="18"/>
    </w:rPr>
  </w:style>
  <w:style w:type="character" w:customStyle="1" w:styleId="41">
    <w:name w:val="批注文字 Char1"/>
    <w:basedOn w:val="16"/>
    <w:semiHidden/>
    <w:qFormat/>
    <w:uiPriority w:val="99"/>
    <w:rPr>
      <w:kern w:val="2"/>
      <w:sz w:val="21"/>
      <w:szCs w:val="22"/>
    </w:rPr>
  </w:style>
  <w:style w:type="character" w:customStyle="1" w:styleId="42">
    <w:name w:val="Intense Emphasis"/>
    <w:basedOn w:val="16"/>
    <w:qFormat/>
    <w:uiPriority w:val="21"/>
    <w:rPr>
      <w:b/>
      <w:bCs/>
      <w:i/>
      <w:iCs/>
      <w:color w:val="4F81BD"/>
    </w:rPr>
  </w:style>
  <w:style w:type="character" w:customStyle="1" w:styleId="43">
    <w:name w:val="文档结构图 Char1"/>
    <w:basedOn w:val="16"/>
    <w:semiHidden/>
    <w:qFormat/>
    <w:uiPriority w:val="99"/>
    <w:rPr>
      <w:rFonts w:ascii="宋体" w:eastAsia="宋体"/>
      <w:sz w:val="18"/>
      <w:szCs w:val="18"/>
    </w:rPr>
  </w:style>
  <w:style w:type="character" w:customStyle="1" w:styleId="44">
    <w:name w:val="脚注文本 Char2"/>
    <w:basedOn w:val="1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2230</Words>
  <Characters>2413</Characters>
  <Lines>11</Lines>
  <Paragraphs>3</Paragraphs>
  <TotalTime>0</TotalTime>
  <ScaleCrop>false</ScaleCrop>
  <LinksUpToDate>false</LinksUpToDate>
  <CharactersWithSpaces>2433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2020-02-27T03:35:00Z</dcterms:created>
  <dc:creator>裴建君2</dc:creator>
  <cp:lastModifiedBy>丁蒙/办公室/南宁/PBC</cp:lastModifiedBy>
  <cp:lastPrinted>2020-09-28T03:20:00Z</cp:lastPrinted>
  <dcterms:modified xsi:type="dcterms:W3CDTF">2023-08-30T09:47:38Z</dcterms:modified>
  <dc:title>编号：57016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567BED87B17A44A8B78537D372EB6016_12</vt:lpwstr>
  </property>
</Properties>
</file>