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编号：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</w:rPr>
        <w:t>000171106001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              </w:t>
      </w: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hint="eastAsia" w:ascii="Times New Roman" w:hAnsi="Times New Roman" w:eastAsia="黑体" w:cs="Times New Roman"/>
          <w:color w:val="auto"/>
          <w:kern w:val="2"/>
          <w:sz w:val="52"/>
          <w:szCs w:val="5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52"/>
          <w:szCs w:val="52"/>
          <w:lang w:val="en-US" w:eastAsia="zh-CN" w:bidi="ar-SA"/>
        </w:rPr>
        <w:t>“分局办理的个人提取规定金额以上外币现钞核准”行政审批服务指南</w:t>
      </w:r>
    </w:p>
    <w:p>
      <w:pPr>
        <w:pStyle w:val="27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Times New Roman" w:hAnsi="Times New Roman" w:eastAsia="黑体" w:cs="Times New Roman"/>
          <w:color w:val="auto"/>
          <w:kern w:val="2"/>
          <w:sz w:val="52"/>
          <w:szCs w:val="52"/>
          <w:lang w:val="en-US" w:eastAsia="zh-CN" w:bidi="ar-SA"/>
        </w:rPr>
      </w:pPr>
    </w:p>
    <w:p>
      <w:pPr>
        <w:pStyle w:val="27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Times New Roman" w:hAnsi="Times New Roman" w:eastAsia="黑体" w:cs="Times New Roman"/>
          <w:color w:val="auto"/>
          <w:kern w:val="2"/>
          <w:sz w:val="52"/>
          <w:szCs w:val="52"/>
          <w:lang w:val="en-US" w:eastAsia="zh-CN" w:bidi="ar-SA"/>
        </w:rPr>
      </w:pPr>
    </w:p>
    <w:p>
      <w:pPr>
        <w:pStyle w:val="27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Times New Roman" w:hAnsi="Times New Roman" w:eastAsia="黑体" w:cs="Times New Roman"/>
          <w:color w:val="auto"/>
          <w:kern w:val="2"/>
          <w:sz w:val="52"/>
          <w:szCs w:val="52"/>
          <w:lang w:val="en-US" w:eastAsia="zh-CN" w:bidi="ar-SA"/>
        </w:rPr>
      </w:pPr>
    </w:p>
    <w:p>
      <w:pPr>
        <w:pStyle w:val="27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</w:p>
    <w:p>
      <w:pPr>
        <w:pStyle w:val="27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</w:p>
    <w:p>
      <w:pPr>
        <w:pStyle w:val="27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</w:p>
    <w:p>
      <w:pPr>
        <w:pStyle w:val="27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</w:p>
    <w:p>
      <w:pPr>
        <w:pStyle w:val="27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</w:p>
    <w:p>
      <w:pPr>
        <w:pStyle w:val="27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</w:p>
    <w:p>
      <w:pPr>
        <w:pStyle w:val="27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</w:p>
    <w:p>
      <w:pPr>
        <w:pStyle w:val="27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</w:p>
    <w:p>
      <w:pPr>
        <w:pStyle w:val="27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  <w:t>国家外汇管理局广西壮族自治区分局</w:t>
      </w:r>
    </w:p>
    <w:p>
      <w:pPr>
        <w:pStyle w:val="27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  <w:t>202</w:t>
      </w:r>
      <w:r>
        <w:rPr>
          <w:rFonts w:hint="eastAsia" w:ascii="宋体" w:hAnsi="宋体" w:cs="宋体"/>
          <w:b w:val="0"/>
          <w:bCs w:val="0"/>
          <w:color w:val="auto"/>
          <w:sz w:val="40"/>
          <w:szCs w:val="4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color w:val="auto"/>
          <w:sz w:val="40"/>
          <w:szCs w:val="40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  <w:t>月</w:t>
      </w:r>
    </w:p>
    <w:p>
      <w:pPr>
        <w:ind w:right="300"/>
        <w:jc w:val="center"/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eastAsia="zh-CN"/>
        </w:rPr>
      </w:pPr>
    </w:p>
    <w:p>
      <w:pPr>
        <w:rPr>
          <w:rFonts w:ascii="Calibri" w:hAnsi="Calibri" w:eastAsia="宋体" w:cs="黑体"/>
          <w:color w:val="auto"/>
          <w:kern w:val="2"/>
          <w:sz w:val="21"/>
          <w:szCs w:val="22"/>
          <w:lang w:val="en-US" w:eastAsia="zh-CN" w:bidi="ar-SA"/>
        </w:rPr>
      </w:pP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一、项目信息</w:t>
      </w:r>
    </w:p>
    <w:p>
      <w:pPr>
        <w:adjustRightInd w:val="0"/>
        <w:snapToGrid w:val="0"/>
        <w:spacing w:line="360" w:lineRule="auto"/>
        <w:ind w:firstLine="585"/>
        <w:rPr>
          <w:rFonts w:hint="eastAsia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（一）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行政许可事项名称及编码</w:t>
      </w:r>
    </w:p>
    <w:p>
      <w:pPr>
        <w:adjustRightInd w:val="0"/>
        <w:snapToGrid w:val="0"/>
        <w:spacing w:line="360" w:lineRule="auto"/>
        <w:ind w:firstLine="585"/>
        <w:rPr>
          <w:rFonts w:hint="eastAsia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外币现钞提取、出境携带、跨境调运核准【00017110600Y】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585"/>
        <w:rPr>
          <w:rFonts w:hint="eastAsia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（二）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行政许可事项子项名称及编码</w:t>
      </w:r>
    </w:p>
    <w:p>
      <w:pPr>
        <w:adjustRightInd w:val="0"/>
        <w:snapToGrid w:val="0"/>
        <w:spacing w:line="360" w:lineRule="auto"/>
        <w:ind w:firstLine="585"/>
        <w:rPr>
          <w:rFonts w:hint="eastAsia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分局办理的个人提取规定金额以上外币现钞核准【000171106001】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585"/>
        <w:rPr>
          <w:rFonts w:hint="eastAsia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（三）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行政许可事项业务办理项名称及编码</w:t>
      </w:r>
    </w:p>
    <w:p>
      <w:pPr>
        <w:adjustRightInd w:val="0"/>
        <w:snapToGrid w:val="0"/>
        <w:spacing w:line="360" w:lineRule="auto"/>
        <w:ind w:firstLine="585"/>
        <w:rPr>
          <w:rFonts w:hint="eastAsia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分局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办理的个人提取规定金额以上外币现钞核准（00017110600101）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585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二、适用范围</w:t>
      </w:r>
    </w:p>
    <w:p>
      <w:pPr>
        <w:adjustRightInd w:val="0"/>
        <w:snapToGrid w:val="0"/>
        <w:spacing w:line="360" w:lineRule="auto"/>
        <w:ind w:firstLine="585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本指南适用于“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个人提取规定金额以上外币现钞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”的申请和办理。</w:t>
      </w:r>
    </w:p>
    <w:p>
      <w:pPr>
        <w:adjustRightInd w:val="0"/>
        <w:snapToGrid w:val="0"/>
        <w:spacing w:line="360" w:lineRule="auto"/>
        <w:ind w:firstLine="585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三、设定依据</w:t>
      </w:r>
    </w:p>
    <w:p>
      <w:pPr>
        <w:adjustRightInd w:val="0"/>
        <w:snapToGrid w:val="0"/>
        <w:spacing w:line="360" w:lineRule="auto"/>
        <w:ind w:firstLine="585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《国务院对确需保留的行政审批项目设定行政许可的决定》（国务院令第412号）附件第4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86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项。</w:t>
      </w:r>
    </w:p>
    <w:p>
      <w:pPr>
        <w:adjustRightInd w:val="0"/>
        <w:snapToGrid w:val="0"/>
        <w:spacing w:line="360" w:lineRule="auto"/>
        <w:ind w:firstLine="585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四、办理依据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  <w:lang w:eastAsia="zh-CN"/>
        </w:rPr>
        <w:t>一</w:t>
      </w: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</w:rPr>
        <w:t>）《个人外汇管理办法实施细则》（汇发〔2007〕1号文印发）第三十条</w:t>
      </w: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  <w:lang w:eastAsia="zh-CN"/>
        </w:rPr>
        <w:t>二</w:t>
      </w: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</w:rPr>
        <w:t>）《个人外汇管理办法》（中国人民银行令2006年第3号）第三十四条</w:t>
      </w: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  <w:lang w:eastAsia="zh-CN"/>
        </w:rPr>
        <w:t>三</w:t>
      </w: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</w:rPr>
        <w:t>）《经常项目外汇业务指引（2020年版）》（汇发〔2020〕14号文印发）第八十六条</w:t>
      </w: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  <w:lang w:eastAsia="zh-CN"/>
        </w:rPr>
        <w:t>四</w:t>
      </w: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</w:rPr>
        <w:t>）《国家外汇管理局行政许可实施办法》（国家外汇管理局公告2021年第1号）全文</w:t>
      </w: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五、监管依据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  <w:lang w:eastAsia="zh-CN"/>
        </w:rPr>
        <w:t>《中华人民共和国外汇管理条例》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（国务院令第532号）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六、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>受理机构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申请人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经办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银行所在地国家外汇管理局分局。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七、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>决定机构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申请人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经办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银行所在地国家外汇管理局分局。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八、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>办事条件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（一）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准予行政许可的条件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申请人为确有需要提取超过等值1万美元以上外币现钞的出境赴战乱、外汇管制严格、金融条件差或金融动乱的国家（或地区）的个人。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（二）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规定行政许可条件的依据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《经常项目外汇业务指引（2020年版）》（汇发〔2020〕14号文印发）第八十六条个人提取外币现钞当日累计等值1万美元以下（含）的，凭本人有效身份证件在银行办理；个人出境赴战乱、外汇管制严格、金融条件差或金融动乱的国家（地区），确有需要提取超过等值1万美元以上外币现钞的，凭本人有效身份证件、提钞用途等材料向银行所在地外汇局事前报备。银行凭本人有效身份证件和经外汇局签章的《提取外币现钞备案表》为个人办理提取外币现钞手续。外汇局开具的《提取外币现钞备案表》自签发之日起30天内有效，不可重复使用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九、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>申请材料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（一）申请材料名称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本人有效身份证件原件或加盖签章的复印件1份。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加盖签章的提钞用途材料（其中,申请书需为原件）复印件1份。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（二）规定申请材料的依据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《个人外汇管理办法》（中国人民银行令2006年第3号）第三十四条个人购汇提钞或从外汇储蓄账户中提钞，单笔或当日累计在有关规定允许携带外币现钞出境金额之下的，可以在银行直接办理；单笔或当日累计提钞超过上述金额的，凭本人有效身份证件、提钞用途证明等材料向当地外汇局事前报备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《个人外汇管理办法实施细则》（汇发〔2007〕1号文印发）第三十条个人提取外币现钞当日累计等值1万美元以下（含）的，可以在银行直接办理；超过上述金额的，凭本人有效身份证件、提钞用途证明等材料向银行所在地外汇局事前报备。银行凭本人有效身份证件和经外汇局签章的《提取外币现钞备案表》为个人办理提取外币现钞手续。”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《经常项目外汇业务指引（2020年版）》（汇发〔2020〕14号文印发）第八十六条个人提取外币现钞当日累计等值1万美元以下（含）的，凭本人有效身份证件在银行办理；个人出境赴战乱、外汇管制严格、金融条件差或金融动乱的国家（地区），确有需要提取超过等值1万美元以上外币现钞的，凭本人有效身份证件、提钞用途等材料向银行所在地外汇局事前报备。银行凭本人有效身份证件和经外汇局签章的《提取外币现钞备案表》为个人办理提取外币现钞手续。外汇局开具的《提取外币现钞备案表》自签发之日起30天内有效，不可重复使用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十、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>申请接受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申请人可通过国家外汇管理局分局提交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申请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材料。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十一、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>基本办理流程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（一）办理行政许可的程序环节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申请人申请；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审批机构受理/不予受理；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审批机构审查；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决定作出许可决定书/不予许可决定书。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（二）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规定行政许可程序的依据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《国家外汇管理局行政许可实施办法》（国家外汇管理局公告2021年第1号）第十条外汇局收到行政许可申请后，应区分下列情况分别作出处理：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申请事项属于本局职责范围，但依法不需要取得行政许可的，应即时告知申请人不受理，出具不予受理行政许可通知书；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申请事项不属于本局职责范围，应即时作出不予受理的决定，出具不予受理行政许可通知书，并告知申请人向有关行政机关申请；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申请事项属于本局职责范围，但申请材料不齐全或不符合法定形式的，应当场或在收到申请材料之日起5个工作日内作出要求申请人补正材料的决定，出具补正告知书，一次性告知申请人需要补正的全部内容；逾期不告知的，自收到申请材料之日起即为受理；申请人拒不补正，或者自补正告知书送达之日起30日内未能提交全部且符合法定形式的补正材料的，应不予受理，出具不予受理行政许可通知书；申请材料存在文字笔误等可当场更正的错误的，应允许申请人当场更正，并告知其在修改处签字或盖章确认；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申请事项属于本局职责范围，申请材料齐全、符合法定形式，或者申请人按照要求提交全部补正申请材料的，应受理行政许可申请，出具行政许可受理通知书。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《国家外汇管理局行政许可实施办法》（国家外汇管理局公告2021年第1号）第十四条外汇局对行政许可申请审查后，应区分下列情况分别作出处理：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申请符合法定条件、拟准予行政许可的，应出具准予行政许可的书面决定。准予行政许可的书面决定应载明名称、出具单位、被许可人姓名或名称、行政许可事项、颁发日期、有效期（如有）等；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申请不符合法定条件、拟不予行政许可的，应出具不予行政许可决定书，并说明不予行政许可的理由，告知申请人享有依法申请行政复议的权利。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十二、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>办理方式</w:t>
      </w:r>
    </w:p>
    <w:p>
      <w:pPr>
        <w:adjustRightInd w:val="0"/>
        <w:snapToGrid w:val="0"/>
        <w:spacing w:line="360" w:lineRule="auto"/>
        <w:ind w:firstLine="600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当场办理：申请、受理、审查、决定、出具有签章的《提取外币现钞备案表》或不予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核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准的行政许可书面决定。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三、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>审批时限</w:t>
      </w:r>
    </w:p>
    <w:p>
      <w:pPr>
        <w:adjustRightInd w:val="0"/>
        <w:snapToGrid w:val="0"/>
        <w:spacing w:line="360" w:lineRule="auto"/>
        <w:ind w:firstLine="600"/>
        <w:jc w:val="left"/>
        <w:rPr>
          <w:rFonts w:hint="eastAsia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（一）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承诺受理时限：5个工作日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00"/>
        <w:jc w:val="left"/>
        <w:rPr>
          <w:rFonts w:hint="eastAsia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（二）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法定审批时限：20个工作日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00"/>
        <w:jc w:val="left"/>
        <w:rPr>
          <w:rFonts w:hint="eastAsia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（三）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规定法定审批时限依据</w:t>
      </w:r>
    </w:p>
    <w:p>
      <w:pPr>
        <w:adjustRightInd w:val="0"/>
        <w:snapToGrid w:val="0"/>
        <w:spacing w:line="360" w:lineRule="auto"/>
        <w:ind w:firstLine="600"/>
        <w:jc w:val="left"/>
        <w:rPr>
          <w:rFonts w:hint="eastAsia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《国家外汇管理局行政许可实施办法》（国家外汇管理局公告2021年第1号）第十五条外汇局应根据以下要求确保行政许可依法按时完成：</w:t>
      </w:r>
    </w:p>
    <w:p>
      <w:pPr>
        <w:adjustRightInd w:val="0"/>
        <w:snapToGrid w:val="0"/>
        <w:spacing w:line="360" w:lineRule="auto"/>
        <w:ind w:firstLine="600"/>
        <w:jc w:val="left"/>
        <w:rPr>
          <w:rFonts w:hint="eastAsia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能当场作出决定的，应当场作出行政许可决定。当场作出行政许可决定的，可不出具行政许可受理通知书；</w:t>
      </w:r>
    </w:p>
    <w:p>
      <w:pPr>
        <w:adjustRightInd w:val="0"/>
        <w:snapToGrid w:val="0"/>
        <w:spacing w:line="360" w:lineRule="auto"/>
        <w:ind w:firstLine="600"/>
        <w:jc w:val="left"/>
        <w:rPr>
          <w:rFonts w:hint="eastAsia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不能当场作出决定的，应自受理之日起20个工作日内作出决定；20个工作日内不能作出决定的，经本级外汇局局长或者主管副局长批准，可延长10个工作日，并向申请人出具延长行政许可办理期限通知书，说明延长期限的理由。行政许可办理期限只能延长一次。外汇局征求其他部门意见的时间计算在以上办理时限内；依法需要听证、检验、检测、鉴定、专家评审等的时间，不计算在上述办理时限内。</w:t>
      </w:r>
    </w:p>
    <w:p>
      <w:pPr>
        <w:adjustRightInd w:val="0"/>
        <w:snapToGrid w:val="0"/>
        <w:spacing w:line="360" w:lineRule="auto"/>
        <w:ind w:firstLine="600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（四）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承诺审批时限：20个工作日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。</w:t>
      </w:r>
    </w:p>
    <w:p>
      <w:pPr>
        <w:adjustRightInd w:val="0"/>
        <w:snapToGrid w:val="0"/>
        <w:spacing w:line="360" w:lineRule="auto"/>
        <w:ind w:firstLine="585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四、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>审批收费依据及标准</w:t>
      </w:r>
    </w:p>
    <w:p>
      <w:pPr>
        <w:adjustRightInd w:val="0"/>
        <w:snapToGrid w:val="0"/>
        <w:spacing w:line="360" w:lineRule="auto"/>
        <w:ind w:firstLine="585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不收费。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五、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>审批结果</w:t>
      </w:r>
    </w:p>
    <w:p>
      <w:pPr>
        <w:adjustRightInd w:val="0"/>
        <w:snapToGrid w:val="0"/>
        <w:spacing w:line="360" w:lineRule="auto"/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《提取外币现钞备案表》（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有效期限：30天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）。</w:t>
      </w:r>
    </w:p>
    <w:p>
      <w:pPr>
        <w:adjustRightInd w:val="0"/>
        <w:snapToGrid w:val="0"/>
        <w:spacing w:line="360" w:lineRule="auto"/>
        <w:ind w:firstLine="6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六、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>结果送达</w:t>
      </w:r>
    </w:p>
    <w:p>
      <w:pPr>
        <w:adjustRightInd w:val="0"/>
        <w:snapToGrid w:val="0"/>
        <w:spacing w:line="360" w:lineRule="auto"/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通过现场领取或邮寄等方式将结果送达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。</w:t>
      </w:r>
    </w:p>
    <w:p>
      <w:pPr>
        <w:adjustRightInd w:val="0"/>
        <w:snapToGrid w:val="0"/>
        <w:spacing w:line="360" w:lineRule="auto"/>
        <w:ind w:firstLine="6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七、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>申请人权利和义务</w:t>
      </w:r>
    </w:p>
    <w:p>
      <w:pPr>
        <w:adjustRightInd w:val="0"/>
        <w:snapToGrid w:val="0"/>
        <w:spacing w:line="360" w:lineRule="auto"/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申请人有权依法提出行政审批申请，依法进行投诉、举报、复议、诉讼等。申请人有义务保证申请材料完整、真实、准确，获批后合法合规办理相关业务。</w:t>
      </w:r>
    </w:p>
    <w:p>
      <w:pPr>
        <w:adjustRightInd w:val="0"/>
        <w:snapToGrid w:val="0"/>
        <w:spacing w:line="360" w:lineRule="auto"/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八、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>咨询途径、监督和投诉、公开查询等由所在地分局办理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国家外汇管理局广西壮族自治区分局：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（一）咨询途径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现场咨询：广西南宁市青秀区滨湖路58号中国人民银行广西壮族自治区分行七楼704室。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电话咨询：0771-6111312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网站咨询：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eastAsia="zh-CN"/>
        </w:rPr>
        <w:t>国家外汇管理局广西壮族自治区分局官方网站（www.safe.gov.cn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/guangxi/）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eastAsia="zh-CN"/>
        </w:rPr>
        <w:t>咨询反馈栏目。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（二）监督和投诉途径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电话投诉：0771-6111357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电子邮箱投诉：gxwgwg@163.com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网站投诉：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eastAsia="zh-CN"/>
        </w:rPr>
        <w:t>国家外汇管理局广西壮族自治区分局官方网站（www.safe.gov.cn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/guangxi/）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eastAsia="zh-CN"/>
        </w:rPr>
        <w:t>咨询反馈栏目。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（三）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eastAsia="zh-CN"/>
        </w:rPr>
        <w:t>公开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</w:rPr>
        <w:t>查询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eastAsia="zh-CN"/>
        </w:rPr>
        <w:t>途径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现场查询：广西南宁市青秀区滨湖路58号中国人民银行广西壮族自治区分行七楼704室。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0"/>
          <w:szCs w:val="30"/>
          <w:lang w:val="en-US" w:eastAsia="zh-CN"/>
        </w:rPr>
        <w:t>电话查询：0771-6111312</w:t>
      </w:r>
    </w:p>
    <w:p>
      <w:pPr>
        <w:adjustRightInd w:val="0"/>
        <w:snapToGrid w:val="0"/>
        <w:spacing w:line="360" w:lineRule="auto"/>
        <w:ind w:firstLine="6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九、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>事项审查类型</w:t>
      </w:r>
    </w:p>
    <w:p>
      <w:pPr>
        <w:adjustRightInd w:val="0"/>
        <w:snapToGrid w:val="0"/>
        <w:spacing w:line="360" w:lineRule="auto"/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前审后批。</w:t>
      </w:r>
    </w:p>
    <w:p>
      <w:pPr>
        <w:adjustRightInd w:val="0"/>
        <w:snapToGrid w:val="0"/>
        <w:spacing w:line="360" w:lineRule="auto"/>
        <w:ind w:firstLine="6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二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>十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、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>办公地址和时间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Times New Roman" w:eastAsia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b w:val="0"/>
          <w:bCs w:val="0"/>
          <w:color w:val="auto"/>
          <w:sz w:val="30"/>
          <w:szCs w:val="30"/>
          <w:lang w:eastAsia="zh-CN"/>
        </w:rPr>
        <w:t>办公</w:t>
      </w:r>
      <w:r>
        <w:rPr>
          <w:rFonts w:hint="eastAsia" w:ascii="仿宋_GB2312" w:hAnsi="Times New Roman" w:eastAsia="仿宋_GB2312"/>
          <w:b w:val="0"/>
          <w:bCs w:val="0"/>
          <w:color w:val="auto"/>
          <w:sz w:val="30"/>
          <w:szCs w:val="30"/>
        </w:rPr>
        <w:t>地址：广西南宁市青秀区滨湖路58号</w:t>
      </w:r>
      <w:r>
        <w:rPr>
          <w:rFonts w:hint="eastAsia" w:ascii="仿宋_GB2312" w:hAnsi="Times New Roman" w:eastAsia="仿宋_GB2312"/>
          <w:b w:val="0"/>
          <w:bCs w:val="0"/>
          <w:color w:val="auto"/>
          <w:sz w:val="30"/>
          <w:szCs w:val="30"/>
          <w:lang w:eastAsia="zh-CN"/>
        </w:rPr>
        <w:t>中国人民银行广西壮族自治区分行七楼704室</w:t>
      </w:r>
      <w:r>
        <w:rPr>
          <w:rFonts w:hint="eastAsia" w:ascii="仿宋_GB2312" w:hAnsi="Times New Roman" w:eastAsia="仿宋_GB2312"/>
          <w:b w:val="0"/>
          <w:bCs w:val="0"/>
          <w:color w:val="auto"/>
          <w:sz w:val="30"/>
          <w:szCs w:val="30"/>
        </w:rPr>
        <w:t>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Times New Roman" w:eastAsia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b w:val="0"/>
          <w:bCs w:val="0"/>
          <w:color w:val="auto"/>
          <w:sz w:val="30"/>
          <w:szCs w:val="30"/>
          <w:lang w:eastAsia="zh-CN"/>
        </w:rPr>
        <w:t>办公</w:t>
      </w:r>
      <w:r>
        <w:rPr>
          <w:rFonts w:hint="eastAsia" w:ascii="仿宋_GB2312" w:hAnsi="Times New Roman" w:eastAsia="仿宋_GB2312"/>
          <w:b w:val="0"/>
          <w:bCs w:val="0"/>
          <w:color w:val="auto"/>
          <w:sz w:val="30"/>
          <w:szCs w:val="30"/>
        </w:rPr>
        <w:t xml:space="preserve">时间：工作日，上午：08:30-12:00，下午：02:30-05:30。 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eastAsia="zh-CN"/>
        </w:rPr>
        <w:t>二十一、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>示范文本及错误范例</w:t>
      </w:r>
    </w:p>
    <w:p>
      <w:pPr>
        <w:adjustRightInd w:val="0"/>
        <w:snapToGrid w:val="0"/>
        <w:spacing w:line="360" w:lineRule="auto"/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个人申请当日累计提取超过等值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1万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美元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外币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现钞，应提交申请书，说明相关情况并证明其确有提钞需求，并签字。</w:t>
      </w:r>
    </w:p>
    <w:p>
      <w:pPr>
        <w:adjustRightInd w:val="0"/>
        <w:snapToGrid w:val="0"/>
        <w:spacing w:line="360" w:lineRule="auto"/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例：</w:t>
      </w:r>
    </w:p>
    <w:p>
      <w:pPr>
        <w:adjustRightInd w:val="0"/>
        <w:snapToGrid w:val="0"/>
        <w:spacing w:line="360" w:lineRule="auto"/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外汇局XXX分支局：</w:t>
      </w:r>
    </w:p>
    <w:p>
      <w:pPr>
        <w:adjustRightInd w:val="0"/>
        <w:snapToGrid w:val="0"/>
        <w:spacing w:line="360" w:lineRule="auto"/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 xml:space="preserve"> 本人某某，身份证号/护照号为XXXXX，今因公务原因/回国/……须前往XX国，XX国系战乱/金融管制/……国家，本人须提取外币现钞XXX元，币种为XX。本人外币现钞来源为XXX/提取外币现钞用途为XXX，望批准。</w:t>
      </w:r>
    </w:p>
    <w:p>
      <w:pPr>
        <w:adjustRightInd w:val="0"/>
        <w:snapToGrid w:val="0"/>
        <w:spacing w:line="360" w:lineRule="auto"/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adjustRightInd w:val="0"/>
        <w:snapToGrid w:val="0"/>
        <w:spacing w:line="360" w:lineRule="auto"/>
        <w:ind w:right="600" w:firstLine="5700" w:firstLineChars="19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 xml:space="preserve"> 签名</w:t>
      </w:r>
    </w:p>
    <w:p>
      <w:pPr>
        <w:adjustRightInd w:val="0"/>
        <w:snapToGrid w:val="0"/>
        <w:spacing w:line="360" w:lineRule="auto"/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 xml:space="preserve">                                   日期</w:t>
      </w:r>
    </w:p>
    <w:p>
      <w:pPr>
        <w:adjustRightInd w:val="0"/>
        <w:snapToGrid w:val="0"/>
        <w:spacing w:line="360" w:lineRule="auto"/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错误范例：金额、申请人姓名、提钞来源/用途、提钞金额及币种等项目遗漏，未签章确认，或提钞用途不符合外汇局提取外币现钞相关要求。</w:t>
      </w:r>
    </w:p>
    <w:p>
      <w:pPr>
        <w:ind w:right="300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widowControl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br w:type="page"/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附录</w:t>
      </w: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基本流程图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2"/>
          <w:lang w:val="en-US" w:eastAsia="zh-CN" w:bidi="ar-SA"/>
        </w:rPr>
        <w:pict>
          <v:group id="Group 14" o:spid="_x0000_s1026" o:spt="203" style="position:absolute;left:0pt;margin-left:-21.85pt;margin-top:10.45pt;height:226.15pt;width:453.05pt;z-index:251659264;mso-width-relative:page;mso-height-relative:page;" coordorigin="1363,2897" coordsize="9061,4523">
            <o:lock v:ext="edit" position="f" selection="f" grouping="f" rotation="f" cropping="f" text="f" aspectratio="f"/>
            <v:shape id="AutoShape 211" o:spid="_x0000_s1027" o:spt="116" type="#_x0000_t116" style="position:absolute;left:1943;top:2897;height:1172;width:1724;" fillcolor="#FFFFFF" filled="t" o:preferrelative="t" stroked="t" coordsize="21600,21600">
              <v:path/>
              <v:fill on="t" focussize="0,0"/>
              <v:stroke color="#000000" color2="#FFFFF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r>
                      <w:rPr>
                        <w:rFonts w:hint="eastAsia"/>
                      </w:rPr>
                      <w:t>申请人提交申请材料</w:t>
                    </w:r>
                  </w:p>
                </w:txbxContent>
              </v:textbox>
            </v:shape>
            <v:roundrect id="AutoShape 213" o:spid="_x0000_s1028" o:spt="2" style="position:absolute;left:7495;top:3918;height:674;width:2929;" fillcolor="#FFFFFF" filled="t" o:preferrelative="t" stroked="t" coordsize="21600,21600" arcsize="0.166666666666667">
              <v:path/>
              <v:fill on="t" focussize="0,0"/>
              <v:stroke color="#000000" color2="#FFFFF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r>
                      <w:rPr>
                        <w:rFonts w:hint="eastAsia"/>
                      </w:rPr>
                      <w:t>申请人补全材料</w:t>
                    </w:r>
                  </w:p>
                </w:txbxContent>
              </v:textbox>
            </v:roundrect>
            <v:roundrect id="AutoShape 214" o:spid="_x0000_s1029" o:spt="2" style="position:absolute;left:4839;top:5537;height:871;width:5362;" fillcolor="#FFFFFF" filled="t" o:preferrelative="t" stroked="t" coordsize="21600,21600" arcsize="0.166666666666667">
              <v:path/>
              <v:fill on="t" focussize="0,0"/>
              <v:stroke color="#000000" color2="#FFFFF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r>
                      <w:rPr>
                        <w:rFonts w:hint="eastAsia"/>
                      </w:rPr>
                      <w:t>材料不全或不符合其他法定形式的，一次性告知补正材料，并依法出具《行政许可补正通知书》或其他文书</w:t>
                    </w:r>
                  </w:p>
                </w:txbxContent>
              </v:textbox>
            </v:roundrect>
            <v:roundrect id="AutoShape 215" o:spid="_x0000_s1030" o:spt="2" style="position:absolute;left:4839;top:6684;height:630;width:5362;" fillcolor="#FFFFFF" filled="t" o:preferrelative="t" stroked="t" coordsize="21600,21600" arcsize="0.166666666666667">
              <v:path/>
              <v:fill on="t" focussize="0,0"/>
              <v:stroke color="#000000" color2="#FFFFF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r>
                      <w:rPr>
                        <w:rFonts w:hint="eastAsia"/>
                      </w:rPr>
                      <w:t>材料齐全予以</w:t>
                    </w:r>
                    <w:r>
                      <w:rPr>
                        <w:rFonts w:hint="eastAsia"/>
                        <w:lang w:eastAsia="zh-CN"/>
                      </w:rPr>
                      <w:t>受理</w:t>
                    </w:r>
                  </w:p>
                  <w:p/>
                </w:txbxContent>
              </v:textbox>
            </v:roundrect>
            <v:shape id="AutoShape 216" o:spid="_x0000_s1031" o:spt="32" type="#_x0000_t32" style="position:absolute;left:2835;top:4069;height:1468;width:17;" fillcolor="#FFFFFF" filled="t" o:preferrelative="t" stroked="t" coordsize="21600,21600">
              <v:path arrowok="t"/>
              <v:fill on="t" focussize="0,0"/>
              <v:stroke color="#000000" color2="#FFFFFF" miterlimit="2" endarrow="block"/>
              <v:imagedata gain="65536f" blacklevel="0f" gamma="0" o:title=""/>
              <o:lock v:ext="edit" position="f" selection="f" grouping="f" rotation="f" cropping="f" text="f" aspectratio="f"/>
            </v:shape>
            <v:shape id="AutoShape 217" o:spid="_x0000_s1032" o:spt="32" type="#_x0000_t32" style="position:absolute;left:3667;top:6084;height:0;width:1172;" fillcolor="#FFFFFF" filled="t" o:preferrelative="t" stroked="t" coordsize="21600,21600">
              <v:path arrowok="t"/>
              <v:fill on="t" focussize="0,0"/>
              <v:stroke color="#000000" color2="#FFFFFF" miterlimit="2" endarrow="block"/>
              <v:imagedata gain="65536f" blacklevel="0f" gamma="0" o:title=""/>
              <o:lock v:ext="edit" position="f" selection="f" grouping="f" rotation="f" cropping="f" text="f" aspectratio="f"/>
            </v:shape>
            <v:shape id="AutoShape 218" o:spid="_x0000_s1033" o:spt="32" type="#_x0000_t32" style="position:absolute;left:3667;top:6894;height:0;width:1172;" fillcolor="#FFFFFF" filled="t" o:preferrelative="t" stroked="t" coordsize="21600,21600">
              <v:path arrowok="t"/>
              <v:fill on="t" focussize="0,0"/>
              <v:stroke color="#000000" color2="#FFFFFF" miterlimit="2" endarrow="block"/>
              <v:imagedata gain="65536f" blacklevel="0f" gamma="0" o:title=""/>
              <o:lock v:ext="edit" position="f" selection="f" grouping="f" rotation="f" cropping="f" text="f" aspectratio="f"/>
            </v:shape>
            <v:shape id="AutoShape 219" o:spid="_x0000_s1034" o:spt="32" type="#_x0000_t32" style="position:absolute;left:8707;top:4642;flip:y;height:895;width:1;" fillcolor="#FFFFFF" filled="t" o:preferrelative="t" stroked="t" coordsize="21600,21600">
              <v:path arrowok="t"/>
              <v:fill on="t" focussize="0,0"/>
              <v:stroke color="#000000" color2="#FFFFFF" miterlimit="2" endarrow="block"/>
              <v:imagedata gain="65536f" blacklevel="0f" gamma="0" o:title=""/>
              <o:lock v:ext="edit" position="f" selection="f" grouping="f" rotation="f" cropping="f" text="f" aspectratio="f"/>
            </v:shape>
            <v:shape id="AutoShape 220" o:spid="_x0000_s1035" o:spt="32" type="#_x0000_t32" style="position:absolute;left:2852;top:4275;flip:x;height:1;width:4643;" fillcolor="#FFFFFF" filled="t" o:preferrelative="t" stroked="t" coordsize="21600,21600">
              <v:path arrowok="t"/>
              <v:fill on="t" focussize="0,0"/>
              <v:stroke color="#000000" color2="#FFFFFF" miterlimit="2" endarrow="block"/>
              <v:imagedata gain="65536f" blacklevel="0f" gamma="0" o:title=""/>
              <o:lock v:ext="edit" position="f" selection="f" grouping="f" rotation="f" cropping="f" text="f" aspectratio="f"/>
            </v:shape>
            <v:shape id="AutoShape 633" o:spid="_x0000_s1036" o:spt="110" type="#_x0000_t110" style="position:absolute;left:1363;top:5537;height:1883;width:2910;" fillcolor="#FFFFFF" filled="t" o:preferrelative="t" stroked="t" coordsize="21600,21600">
              <v:path/>
              <v:fill on="t" focussize="0,0"/>
              <v:stroke color="#000000" color2="#FFFFFF" miterlimit="2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adjustRightInd w:val="0"/>
                      <w:snapToGrid w:val="0"/>
                    </w:pPr>
                    <w:r>
                      <w:rPr>
                        <w:rFonts w:hint="eastAsia"/>
                      </w:rPr>
                      <w:t>分支局受理、审查、审核</w:t>
                    </w:r>
                  </w:p>
                </w:txbxContent>
              </v:textbox>
            </v:shape>
          </v:group>
        </w:pict>
      </w:r>
    </w:p>
    <w:sectPr>
      <w:footerReference r:id="rId3" w:type="default"/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Mono CJK JP Regular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Q4YjIwYjI4ZmE4OWQ2YmE1MDViYjU3ZGNiYjhlODIifQ=="/>
  </w:docVars>
  <w:rsids>
    <w:rsidRoot w:val="00AB131E"/>
    <w:rsid w:val="00003372"/>
    <w:rsid w:val="00004ED7"/>
    <w:rsid w:val="00007600"/>
    <w:rsid w:val="00022191"/>
    <w:rsid w:val="00023783"/>
    <w:rsid w:val="00041960"/>
    <w:rsid w:val="00042B58"/>
    <w:rsid w:val="00054B00"/>
    <w:rsid w:val="00055270"/>
    <w:rsid w:val="00057F76"/>
    <w:rsid w:val="0006560A"/>
    <w:rsid w:val="00072F8A"/>
    <w:rsid w:val="000750C8"/>
    <w:rsid w:val="00080630"/>
    <w:rsid w:val="00091661"/>
    <w:rsid w:val="00092D53"/>
    <w:rsid w:val="00096CBB"/>
    <w:rsid w:val="00097F7B"/>
    <w:rsid w:val="000B1B41"/>
    <w:rsid w:val="000B6901"/>
    <w:rsid w:val="000B728B"/>
    <w:rsid w:val="000C15B3"/>
    <w:rsid w:val="000C2B33"/>
    <w:rsid w:val="000D1995"/>
    <w:rsid w:val="000D7478"/>
    <w:rsid w:val="00120DFD"/>
    <w:rsid w:val="0012271F"/>
    <w:rsid w:val="00130519"/>
    <w:rsid w:val="00135BEE"/>
    <w:rsid w:val="0014667A"/>
    <w:rsid w:val="00154B58"/>
    <w:rsid w:val="00157157"/>
    <w:rsid w:val="00157C64"/>
    <w:rsid w:val="00157E81"/>
    <w:rsid w:val="00170126"/>
    <w:rsid w:val="00177059"/>
    <w:rsid w:val="00181D3E"/>
    <w:rsid w:val="00186BC2"/>
    <w:rsid w:val="00195A97"/>
    <w:rsid w:val="00196FAE"/>
    <w:rsid w:val="001A3E49"/>
    <w:rsid w:val="001A72AA"/>
    <w:rsid w:val="001B09C8"/>
    <w:rsid w:val="001B1E2C"/>
    <w:rsid w:val="001C44C7"/>
    <w:rsid w:val="001D65A2"/>
    <w:rsid w:val="001E1407"/>
    <w:rsid w:val="001F08A9"/>
    <w:rsid w:val="001F3DEE"/>
    <w:rsid w:val="001F4BD4"/>
    <w:rsid w:val="001F7297"/>
    <w:rsid w:val="00205D07"/>
    <w:rsid w:val="00212F39"/>
    <w:rsid w:val="00217116"/>
    <w:rsid w:val="00231EED"/>
    <w:rsid w:val="00232595"/>
    <w:rsid w:val="00233841"/>
    <w:rsid w:val="002343C8"/>
    <w:rsid w:val="00235736"/>
    <w:rsid w:val="00235F24"/>
    <w:rsid w:val="002417D2"/>
    <w:rsid w:val="00241FE8"/>
    <w:rsid w:val="0024527E"/>
    <w:rsid w:val="00253F7B"/>
    <w:rsid w:val="00263773"/>
    <w:rsid w:val="00263B1F"/>
    <w:rsid w:val="00281976"/>
    <w:rsid w:val="00291C17"/>
    <w:rsid w:val="0029313A"/>
    <w:rsid w:val="002A4696"/>
    <w:rsid w:val="002A668C"/>
    <w:rsid w:val="002B0B1C"/>
    <w:rsid w:val="002B598D"/>
    <w:rsid w:val="002B61C1"/>
    <w:rsid w:val="002D6326"/>
    <w:rsid w:val="002E1323"/>
    <w:rsid w:val="002F2D2F"/>
    <w:rsid w:val="002F3868"/>
    <w:rsid w:val="00300EF5"/>
    <w:rsid w:val="00302119"/>
    <w:rsid w:val="00302E87"/>
    <w:rsid w:val="00307F23"/>
    <w:rsid w:val="00310261"/>
    <w:rsid w:val="00317654"/>
    <w:rsid w:val="003270F0"/>
    <w:rsid w:val="00331589"/>
    <w:rsid w:val="0033665E"/>
    <w:rsid w:val="00337628"/>
    <w:rsid w:val="00343044"/>
    <w:rsid w:val="00344B01"/>
    <w:rsid w:val="003509FB"/>
    <w:rsid w:val="00353AC4"/>
    <w:rsid w:val="003616B4"/>
    <w:rsid w:val="00373EC0"/>
    <w:rsid w:val="003A090F"/>
    <w:rsid w:val="003A57B2"/>
    <w:rsid w:val="003B755F"/>
    <w:rsid w:val="003C0E26"/>
    <w:rsid w:val="003C7132"/>
    <w:rsid w:val="003D77A5"/>
    <w:rsid w:val="003E6BF6"/>
    <w:rsid w:val="003F221D"/>
    <w:rsid w:val="003F3097"/>
    <w:rsid w:val="00402AE8"/>
    <w:rsid w:val="00404C3E"/>
    <w:rsid w:val="00405FE6"/>
    <w:rsid w:val="004105BC"/>
    <w:rsid w:val="00420571"/>
    <w:rsid w:val="00421C27"/>
    <w:rsid w:val="00440A1F"/>
    <w:rsid w:val="00443603"/>
    <w:rsid w:val="00443604"/>
    <w:rsid w:val="004501EA"/>
    <w:rsid w:val="00452108"/>
    <w:rsid w:val="00460458"/>
    <w:rsid w:val="0046573A"/>
    <w:rsid w:val="0046792D"/>
    <w:rsid w:val="004767DF"/>
    <w:rsid w:val="00493CCC"/>
    <w:rsid w:val="004A0218"/>
    <w:rsid w:val="004A7840"/>
    <w:rsid w:val="004B545A"/>
    <w:rsid w:val="004B7E80"/>
    <w:rsid w:val="004C457E"/>
    <w:rsid w:val="004C48D5"/>
    <w:rsid w:val="004D03B7"/>
    <w:rsid w:val="004D1436"/>
    <w:rsid w:val="004D57AE"/>
    <w:rsid w:val="004E2228"/>
    <w:rsid w:val="004E46DE"/>
    <w:rsid w:val="004E6A8C"/>
    <w:rsid w:val="005056D4"/>
    <w:rsid w:val="00526B2B"/>
    <w:rsid w:val="005362B0"/>
    <w:rsid w:val="00542447"/>
    <w:rsid w:val="00564312"/>
    <w:rsid w:val="00591715"/>
    <w:rsid w:val="005938DE"/>
    <w:rsid w:val="005A2981"/>
    <w:rsid w:val="005A663A"/>
    <w:rsid w:val="005C3FAA"/>
    <w:rsid w:val="005C6937"/>
    <w:rsid w:val="005C7F02"/>
    <w:rsid w:val="005E1B5C"/>
    <w:rsid w:val="005F0A86"/>
    <w:rsid w:val="005F144A"/>
    <w:rsid w:val="005F1C00"/>
    <w:rsid w:val="00604896"/>
    <w:rsid w:val="0061621E"/>
    <w:rsid w:val="0062600A"/>
    <w:rsid w:val="00630AA8"/>
    <w:rsid w:val="00630B2E"/>
    <w:rsid w:val="00643D2A"/>
    <w:rsid w:val="0066041A"/>
    <w:rsid w:val="00664E11"/>
    <w:rsid w:val="00673B30"/>
    <w:rsid w:val="00696E5D"/>
    <w:rsid w:val="006A1A06"/>
    <w:rsid w:val="006B49E8"/>
    <w:rsid w:val="006B5B86"/>
    <w:rsid w:val="006C5908"/>
    <w:rsid w:val="006C633E"/>
    <w:rsid w:val="006D5087"/>
    <w:rsid w:val="006D56AB"/>
    <w:rsid w:val="006D734F"/>
    <w:rsid w:val="006D74BC"/>
    <w:rsid w:val="006E043F"/>
    <w:rsid w:val="006E4695"/>
    <w:rsid w:val="006E4B8B"/>
    <w:rsid w:val="006E5901"/>
    <w:rsid w:val="007028DF"/>
    <w:rsid w:val="0071091C"/>
    <w:rsid w:val="00714961"/>
    <w:rsid w:val="00744BD5"/>
    <w:rsid w:val="00745748"/>
    <w:rsid w:val="00750E36"/>
    <w:rsid w:val="00753CB0"/>
    <w:rsid w:val="00755460"/>
    <w:rsid w:val="00761FB7"/>
    <w:rsid w:val="00762107"/>
    <w:rsid w:val="00764CB9"/>
    <w:rsid w:val="00765B05"/>
    <w:rsid w:val="0077269F"/>
    <w:rsid w:val="00785F45"/>
    <w:rsid w:val="007A07F1"/>
    <w:rsid w:val="007A2780"/>
    <w:rsid w:val="007A68EA"/>
    <w:rsid w:val="007B06FC"/>
    <w:rsid w:val="007B0FEF"/>
    <w:rsid w:val="007B2DB5"/>
    <w:rsid w:val="007D2C11"/>
    <w:rsid w:val="007D6171"/>
    <w:rsid w:val="007D69EA"/>
    <w:rsid w:val="007E2C7B"/>
    <w:rsid w:val="007E411B"/>
    <w:rsid w:val="007F0863"/>
    <w:rsid w:val="007F2F3B"/>
    <w:rsid w:val="00802307"/>
    <w:rsid w:val="0082168E"/>
    <w:rsid w:val="00821968"/>
    <w:rsid w:val="0084639E"/>
    <w:rsid w:val="008471B6"/>
    <w:rsid w:val="00851521"/>
    <w:rsid w:val="0085686A"/>
    <w:rsid w:val="00860878"/>
    <w:rsid w:val="008731FF"/>
    <w:rsid w:val="0088294A"/>
    <w:rsid w:val="0089282A"/>
    <w:rsid w:val="008974E3"/>
    <w:rsid w:val="008A4538"/>
    <w:rsid w:val="008A704B"/>
    <w:rsid w:val="008B08D2"/>
    <w:rsid w:val="008B4EE5"/>
    <w:rsid w:val="008B5807"/>
    <w:rsid w:val="008B71EE"/>
    <w:rsid w:val="008C05CB"/>
    <w:rsid w:val="008D5FA0"/>
    <w:rsid w:val="008E2D38"/>
    <w:rsid w:val="008F5724"/>
    <w:rsid w:val="008F5900"/>
    <w:rsid w:val="00902633"/>
    <w:rsid w:val="009027D8"/>
    <w:rsid w:val="0090372F"/>
    <w:rsid w:val="00905098"/>
    <w:rsid w:val="00911E27"/>
    <w:rsid w:val="00911E9A"/>
    <w:rsid w:val="0092129A"/>
    <w:rsid w:val="00925BB2"/>
    <w:rsid w:val="0092678E"/>
    <w:rsid w:val="00930C8C"/>
    <w:rsid w:val="00934E2E"/>
    <w:rsid w:val="009360EA"/>
    <w:rsid w:val="00947C57"/>
    <w:rsid w:val="00951149"/>
    <w:rsid w:val="00960EDB"/>
    <w:rsid w:val="009622DB"/>
    <w:rsid w:val="009664BC"/>
    <w:rsid w:val="0097251F"/>
    <w:rsid w:val="00980F02"/>
    <w:rsid w:val="00991B77"/>
    <w:rsid w:val="00997523"/>
    <w:rsid w:val="0099781D"/>
    <w:rsid w:val="009A0C5D"/>
    <w:rsid w:val="009A58EB"/>
    <w:rsid w:val="009C4672"/>
    <w:rsid w:val="009C491B"/>
    <w:rsid w:val="009D0911"/>
    <w:rsid w:val="009D24F8"/>
    <w:rsid w:val="009D688C"/>
    <w:rsid w:val="009F7A36"/>
    <w:rsid w:val="00A1538B"/>
    <w:rsid w:val="00A249C2"/>
    <w:rsid w:val="00A24FAB"/>
    <w:rsid w:val="00A27E4F"/>
    <w:rsid w:val="00A301E7"/>
    <w:rsid w:val="00A3068F"/>
    <w:rsid w:val="00A42E69"/>
    <w:rsid w:val="00A45CA7"/>
    <w:rsid w:val="00A51415"/>
    <w:rsid w:val="00A6014E"/>
    <w:rsid w:val="00A60356"/>
    <w:rsid w:val="00A66F2C"/>
    <w:rsid w:val="00A81DF1"/>
    <w:rsid w:val="00A90EF3"/>
    <w:rsid w:val="00A94DC5"/>
    <w:rsid w:val="00AA7717"/>
    <w:rsid w:val="00AB131E"/>
    <w:rsid w:val="00AB644F"/>
    <w:rsid w:val="00AC3F5E"/>
    <w:rsid w:val="00AE7ACF"/>
    <w:rsid w:val="00B06409"/>
    <w:rsid w:val="00B10912"/>
    <w:rsid w:val="00B17D66"/>
    <w:rsid w:val="00B31FD9"/>
    <w:rsid w:val="00B33782"/>
    <w:rsid w:val="00B35D3A"/>
    <w:rsid w:val="00B422F1"/>
    <w:rsid w:val="00B71531"/>
    <w:rsid w:val="00B7456C"/>
    <w:rsid w:val="00B84131"/>
    <w:rsid w:val="00B8630E"/>
    <w:rsid w:val="00B931F4"/>
    <w:rsid w:val="00B95573"/>
    <w:rsid w:val="00B96395"/>
    <w:rsid w:val="00BA2892"/>
    <w:rsid w:val="00BA2AF8"/>
    <w:rsid w:val="00BB2650"/>
    <w:rsid w:val="00BB5BDC"/>
    <w:rsid w:val="00BB7B76"/>
    <w:rsid w:val="00BC57EA"/>
    <w:rsid w:val="00BC7E04"/>
    <w:rsid w:val="00BD233D"/>
    <w:rsid w:val="00BD6698"/>
    <w:rsid w:val="00BF4EF0"/>
    <w:rsid w:val="00C01775"/>
    <w:rsid w:val="00C02E44"/>
    <w:rsid w:val="00C147D2"/>
    <w:rsid w:val="00C2075F"/>
    <w:rsid w:val="00C2377A"/>
    <w:rsid w:val="00C23799"/>
    <w:rsid w:val="00C274C9"/>
    <w:rsid w:val="00C31E02"/>
    <w:rsid w:val="00C3486D"/>
    <w:rsid w:val="00C45BC1"/>
    <w:rsid w:val="00C54291"/>
    <w:rsid w:val="00C672C3"/>
    <w:rsid w:val="00C712B2"/>
    <w:rsid w:val="00C94325"/>
    <w:rsid w:val="00C97FED"/>
    <w:rsid w:val="00CA1DBB"/>
    <w:rsid w:val="00CA2622"/>
    <w:rsid w:val="00CA7F2C"/>
    <w:rsid w:val="00CA7FF8"/>
    <w:rsid w:val="00CB5DE7"/>
    <w:rsid w:val="00CC068D"/>
    <w:rsid w:val="00CC4922"/>
    <w:rsid w:val="00CD1FF6"/>
    <w:rsid w:val="00CD5DF7"/>
    <w:rsid w:val="00CE25C7"/>
    <w:rsid w:val="00CE3335"/>
    <w:rsid w:val="00CE4849"/>
    <w:rsid w:val="00CE5C8E"/>
    <w:rsid w:val="00CE5F49"/>
    <w:rsid w:val="00D01626"/>
    <w:rsid w:val="00D33A4D"/>
    <w:rsid w:val="00D33F76"/>
    <w:rsid w:val="00D41F5E"/>
    <w:rsid w:val="00D43DC0"/>
    <w:rsid w:val="00D457FB"/>
    <w:rsid w:val="00D54E56"/>
    <w:rsid w:val="00D6407D"/>
    <w:rsid w:val="00D93E78"/>
    <w:rsid w:val="00DA0BA9"/>
    <w:rsid w:val="00DA4697"/>
    <w:rsid w:val="00DA7D86"/>
    <w:rsid w:val="00DC6E91"/>
    <w:rsid w:val="00DC7514"/>
    <w:rsid w:val="00DD3845"/>
    <w:rsid w:val="00DF1C22"/>
    <w:rsid w:val="00E038A4"/>
    <w:rsid w:val="00E1687A"/>
    <w:rsid w:val="00E20A2E"/>
    <w:rsid w:val="00E25DF4"/>
    <w:rsid w:val="00E277DE"/>
    <w:rsid w:val="00E27EE9"/>
    <w:rsid w:val="00E3239D"/>
    <w:rsid w:val="00E3254B"/>
    <w:rsid w:val="00E3439B"/>
    <w:rsid w:val="00E42C5F"/>
    <w:rsid w:val="00E65A1B"/>
    <w:rsid w:val="00E72F1F"/>
    <w:rsid w:val="00E934AB"/>
    <w:rsid w:val="00EA06AC"/>
    <w:rsid w:val="00EA08BF"/>
    <w:rsid w:val="00EA24FB"/>
    <w:rsid w:val="00EB3204"/>
    <w:rsid w:val="00EB50BA"/>
    <w:rsid w:val="00EB5B41"/>
    <w:rsid w:val="00EC3D33"/>
    <w:rsid w:val="00ED302A"/>
    <w:rsid w:val="00ED3A42"/>
    <w:rsid w:val="00ED5D83"/>
    <w:rsid w:val="00EE02BC"/>
    <w:rsid w:val="00EE6970"/>
    <w:rsid w:val="00EF38D0"/>
    <w:rsid w:val="00EF3DDF"/>
    <w:rsid w:val="00EF4A8C"/>
    <w:rsid w:val="00EF4EB8"/>
    <w:rsid w:val="00F2678C"/>
    <w:rsid w:val="00F27B38"/>
    <w:rsid w:val="00F341DD"/>
    <w:rsid w:val="00F40278"/>
    <w:rsid w:val="00F41832"/>
    <w:rsid w:val="00F43EE1"/>
    <w:rsid w:val="00F56988"/>
    <w:rsid w:val="00F5789E"/>
    <w:rsid w:val="00F620FB"/>
    <w:rsid w:val="00F64129"/>
    <w:rsid w:val="00F64E58"/>
    <w:rsid w:val="00F6571F"/>
    <w:rsid w:val="00F755CD"/>
    <w:rsid w:val="00F8687E"/>
    <w:rsid w:val="00F91E34"/>
    <w:rsid w:val="00F93331"/>
    <w:rsid w:val="00F95549"/>
    <w:rsid w:val="00FA1E24"/>
    <w:rsid w:val="00FA24FB"/>
    <w:rsid w:val="00FA632B"/>
    <w:rsid w:val="00FB38EA"/>
    <w:rsid w:val="00FB5E0F"/>
    <w:rsid w:val="00FB6AFF"/>
    <w:rsid w:val="00FC4D8F"/>
    <w:rsid w:val="00FD06D3"/>
    <w:rsid w:val="00FE2050"/>
    <w:rsid w:val="00FE3157"/>
    <w:rsid w:val="00FE6865"/>
    <w:rsid w:val="00FE6993"/>
    <w:rsid w:val="00FE766F"/>
    <w:rsid w:val="04BD6CDE"/>
    <w:rsid w:val="05CE0686"/>
    <w:rsid w:val="06EF6D12"/>
    <w:rsid w:val="08BA2F9B"/>
    <w:rsid w:val="0F171078"/>
    <w:rsid w:val="0FE70B59"/>
    <w:rsid w:val="132D4077"/>
    <w:rsid w:val="146A3B1E"/>
    <w:rsid w:val="15B96717"/>
    <w:rsid w:val="16853D04"/>
    <w:rsid w:val="1DCE0539"/>
    <w:rsid w:val="1E8C4C97"/>
    <w:rsid w:val="215F6FFC"/>
    <w:rsid w:val="21FF6A1F"/>
    <w:rsid w:val="2204175C"/>
    <w:rsid w:val="24E44141"/>
    <w:rsid w:val="26F31CD4"/>
    <w:rsid w:val="275F71C9"/>
    <w:rsid w:val="296B2816"/>
    <w:rsid w:val="2AD76EDF"/>
    <w:rsid w:val="2CB92B46"/>
    <w:rsid w:val="2DAE642C"/>
    <w:rsid w:val="2FDA35CC"/>
    <w:rsid w:val="302B74FE"/>
    <w:rsid w:val="30744AA7"/>
    <w:rsid w:val="30F5460F"/>
    <w:rsid w:val="32625497"/>
    <w:rsid w:val="34010683"/>
    <w:rsid w:val="3521127B"/>
    <w:rsid w:val="353252AC"/>
    <w:rsid w:val="386E46FB"/>
    <w:rsid w:val="38FC5A11"/>
    <w:rsid w:val="3B974104"/>
    <w:rsid w:val="3E71542C"/>
    <w:rsid w:val="447839A2"/>
    <w:rsid w:val="484E3FB8"/>
    <w:rsid w:val="48AF00E0"/>
    <w:rsid w:val="48AF4B48"/>
    <w:rsid w:val="48E72B03"/>
    <w:rsid w:val="49C33DD5"/>
    <w:rsid w:val="4B786170"/>
    <w:rsid w:val="4C393468"/>
    <w:rsid w:val="4D202EC8"/>
    <w:rsid w:val="51D566FF"/>
    <w:rsid w:val="593D3EBD"/>
    <w:rsid w:val="59AD570D"/>
    <w:rsid w:val="5E106116"/>
    <w:rsid w:val="5F7D2AA8"/>
    <w:rsid w:val="609F288A"/>
    <w:rsid w:val="62464B5B"/>
    <w:rsid w:val="64C673AE"/>
    <w:rsid w:val="65633DB5"/>
    <w:rsid w:val="66101E5B"/>
    <w:rsid w:val="686F22AC"/>
    <w:rsid w:val="69756676"/>
    <w:rsid w:val="69E90E92"/>
    <w:rsid w:val="6A8A6092"/>
    <w:rsid w:val="6A9C5FB9"/>
    <w:rsid w:val="6D2F053D"/>
    <w:rsid w:val="6DBB6728"/>
    <w:rsid w:val="701A0DE2"/>
    <w:rsid w:val="725909D7"/>
    <w:rsid w:val="73925400"/>
    <w:rsid w:val="74976D63"/>
    <w:rsid w:val="75AD408A"/>
    <w:rsid w:val="76D720B4"/>
    <w:rsid w:val="7A4835C2"/>
    <w:rsid w:val="7C5B443C"/>
    <w:rsid w:val="7FE51B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  <o:rules v:ext="edit">
        <o:r id="V:Rule1" type="connector" idref="#AutoShape 216"/>
        <o:r id="V:Rule2" type="connector" idref="#AutoShape 217"/>
        <o:r id="V:Rule3" type="connector" idref="#AutoShape 218"/>
        <o:r id="V:Rule4" type="connector" idref="#AutoShape 219"/>
        <o:r id="V:Rule5" type="connector" idref="#AutoShape 22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qFormat="1" w:unhideWhenUsed="0" w:uiPriority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iPriority="0" w:semiHidden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0" w:semiHidden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ind w:firstLine="600" w:firstLineChars="200"/>
      <w:outlineLvl w:val="0"/>
    </w:pPr>
    <w:rPr>
      <w:rFonts w:ascii="黑体" w:hAnsi="黑体" w:eastAsia="黑体" w:cs="宋体"/>
      <w:color w:val="000000"/>
      <w:kern w:val="0"/>
      <w:sz w:val="30"/>
      <w:szCs w:val="30"/>
    </w:rPr>
  </w:style>
  <w:style w:type="paragraph" w:styleId="3">
    <w:name w:val="heading 2"/>
    <w:basedOn w:val="1"/>
    <w:next w:val="1"/>
    <w:link w:val="3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35"/>
    <w:qFormat/>
    <w:uiPriority w:val="9"/>
    <w:pPr>
      <w:ind w:right="300"/>
      <w:outlineLvl w:val="2"/>
    </w:pPr>
    <w:rPr>
      <w:rFonts w:ascii="仿宋_GB2312" w:eastAsia="仿宋_GB2312" w:cs="Times New Roman"/>
      <w:sz w:val="30"/>
      <w:szCs w:val="30"/>
    </w:rPr>
  </w:style>
  <w:style w:type="character" w:default="1" w:styleId="15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39"/>
    <w:unhideWhenUsed/>
    <w:qFormat/>
    <w:uiPriority w:val="0"/>
    <w:rPr>
      <w:rFonts w:ascii="宋体"/>
      <w:sz w:val="18"/>
      <w:szCs w:val="18"/>
    </w:rPr>
  </w:style>
  <w:style w:type="paragraph" w:styleId="6">
    <w:name w:val="annotation text"/>
    <w:basedOn w:val="1"/>
    <w:link w:val="32"/>
    <w:unhideWhenUsed/>
    <w:qFormat/>
    <w:uiPriority w:val="99"/>
    <w:pPr>
      <w:jc w:val="left"/>
    </w:pPr>
    <w:rPr>
      <w:rFonts w:cs="Times New Roman"/>
    </w:rPr>
  </w:style>
  <w:style w:type="paragraph" w:styleId="7">
    <w:name w:val="Balloon Text"/>
    <w:basedOn w:val="1"/>
    <w:link w:val="30"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link w:val="37"/>
    <w:semiHidden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11">
    <w:name w:val="HTML Preformatted"/>
    <w:basedOn w:val="1"/>
    <w:link w:val="3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rFonts w:hint="default" w:ascii="ˎ̥" w:hAnsi="ˎ̥"/>
      <w:color w:val="0453CC"/>
      <w:sz w:val="20"/>
      <w:szCs w:val="20"/>
      <w:u w:val="none"/>
    </w:rPr>
  </w:style>
  <w:style w:type="character" w:styleId="17">
    <w:name w:val="annotation reference"/>
    <w:basedOn w:val="15"/>
    <w:unhideWhenUsed/>
    <w:qFormat/>
    <w:uiPriority w:val="0"/>
    <w:rPr>
      <w:sz w:val="21"/>
      <w:szCs w:val="21"/>
    </w:rPr>
  </w:style>
  <w:style w:type="character" w:styleId="18">
    <w:name w:val="footnote reference"/>
    <w:unhideWhenUsed/>
    <w:qFormat/>
    <w:uiPriority w:val="0"/>
    <w:rPr>
      <w:rFonts w:ascii="Times New Roman" w:hAnsi="Times New Roman" w:cs="Times New Roman"/>
      <w:vertAlign w:val="superscript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paragraph" w:customStyle="1" w:styleId="2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21">
    <w:name w:val="juzhong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修订1"/>
    <w:hidden/>
    <w:semiHidden/>
    <w:qFormat/>
    <w:uiPriority w:val="99"/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3">
    <w:name w:val="列出段落11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24">
    <w:name w:val="列出段落4"/>
    <w:basedOn w:val="1"/>
    <w:qFormat/>
    <w:uiPriority w:val="0"/>
    <w:pPr>
      <w:ind w:firstLine="200" w:firstLineChars="200"/>
    </w:pPr>
    <w:rPr>
      <w:rFonts w:cs="Times New Roman"/>
    </w:rPr>
  </w:style>
  <w:style w:type="paragraph" w:customStyle="1" w:styleId="25">
    <w:name w:val="列出段落3"/>
    <w:basedOn w:val="1"/>
    <w:qFormat/>
    <w:uiPriority w:val="0"/>
    <w:pPr>
      <w:ind w:firstLine="420" w:firstLineChars="200"/>
    </w:pPr>
    <w:rPr>
      <w:rFonts w:ascii="Times New Roman" w:hAnsi="Times New Roman" w:cs="Times New Roman"/>
      <w:szCs w:val="24"/>
    </w:rPr>
  </w:style>
  <w:style w:type="paragraph" w:customStyle="1" w:styleId="26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27">
    <w:name w:val="Heading 1"/>
    <w:basedOn w:val="1"/>
    <w:qFormat/>
    <w:uiPriority w:val="1"/>
    <w:pPr>
      <w:spacing w:line="541" w:lineRule="exact"/>
      <w:ind w:left="1919" w:right="2017"/>
      <w:jc w:val="center"/>
      <w:outlineLvl w:val="1"/>
    </w:pPr>
    <w:rPr>
      <w:rFonts w:ascii="Noto Sans Mono CJK JP Regular" w:hAnsi="Noto Sans Mono CJK JP Regular" w:eastAsia="Noto Sans Mono CJK JP Regular" w:cs="Noto Sans Mono CJK JP Regular"/>
      <w:sz w:val="36"/>
      <w:szCs w:val="36"/>
    </w:rPr>
  </w:style>
  <w:style w:type="character" w:customStyle="1" w:styleId="28">
    <w:name w:val="页眉 Char"/>
    <w:basedOn w:val="15"/>
    <w:link w:val="9"/>
    <w:qFormat/>
    <w:uiPriority w:val="99"/>
    <w:rPr>
      <w:sz w:val="18"/>
      <w:szCs w:val="18"/>
    </w:rPr>
  </w:style>
  <w:style w:type="character" w:customStyle="1" w:styleId="29">
    <w:name w:val="页脚 Char"/>
    <w:basedOn w:val="15"/>
    <w:link w:val="8"/>
    <w:qFormat/>
    <w:uiPriority w:val="99"/>
    <w:rPr>
      <w:sz w:val="18"/>
      <w:szCs w:val="18"/>
    </w:rPr>
  </w:style>
  <w:style w:type="character" w:customStyle="1" w:styleId="30">
    <w:name w:val="批注框文本 Char"/>
    <w:basedOn w:val="15"/>
    <w:link w:val="7"/>
    <w:semiHidden/>
    <w:qFormat/>
    <w:uiPriority w:val="0"/>
    <w:rPr>
      <w:sz w:val="18"/>
      <w:szCs w:val="18"/>
    </w:rPr>
  </w:style>
  <w:style w:type="character" w:customStyle="1" w:styleId="31">
    <w:name w:val="HTML 预设格式 Char"/>
    <w:basedOn w:val="15"/>
    <w:link w:val="11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2">
    <w:name w:val="批注文字 Char"/>
    <w:basedOn w:val="15"/>
    <w:link w:val="6"/>
    <w:semiHidden/>
    <w:qFormat/>
    <w:uiPriority w:val="0"/>
    <w:rPr>
      <w:rFonts w:ascii="Calibri" w:hAnsi="Calibri" w:eastAsia="宋体" w:cs="Times New Roman"/>
    </w:rPr>
  </w:style>
  <w:style w:type="character" w:customStyle="1" w:styleId="33">
    <w:name w:val="标题 1 Char"/>
    <w:basedOn w:val="15"/>
    <w:link w:val="2"/>
    <w:qFormat/>
    <w:uiPriority w:val="9"/>
    <w:rPr>
      <w:rFonts w:ascii="黑体" w:hAnsi="黑体" w:eastAsia="黑体" w:cs="宋体"/>
      <w:color w:val="000000"/>
      <w:kern w:val="0"/>
      <w:sz w:val="30"/>
      <w:szCs w:val="30"/>
    </w:rPr>
  </w:style>
  <w:style w:type="character" w:customStyle="1" w:styleId="34">
    <w:name w:val="标题 2 Char"/>
    <w:basedOn w:val="15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35">
    <w:name w:val="标题 3 Char"/>
    <w:basedOn w:val="15"/>
    <w:link w:val="4"/>
    <w:qFormat/>
    <w:uiPriority w:val="9"/>
    <w:rPr>
      <w:rFonts w:ascii="仿宋_GB2312" w:hAnsi="Calibri" w:eastAsia="仿宋_GB2312" w:cs="Times New Roman"/>
      <w:sz w:val="30"/>
      <w:szCs w:val="30"/>
    </w:rPr>
  </w:style>
  <w:style w:type="character" w:customStyle="1" w:styleId="36">
    <w:name w:val="脚注文本 Char"/>
    <w:basedOn w:val="15"/>
    <w:semiHidden/>
    <w:qFormat/>
    <w:uiPriority w:val="99"/>
    <w:rPr>
      <w:kern w:val="2"/>
      <w:sz w:val="18"/>
      <w:szCs w:val="18"/>
    </w:rPr>
  </w:style>
  <w:style w:type="character" w:customStyle="1" w:styleId="37">
    <w:name w:val="脚注文本 Char1"/>
    <w:basedOn w:val="15"/>
    <w:link w:val="10"/>
    <w:semiHidden/>
    <w:qFormat/>
    <w:uiPriority w:val="0"/>
    <w:rPr>
      <w:rFonts w:ascii="Times New Roman" w:hAnsi="Times New Roman"/>
      <w:sz w:val="18"/>
      <w:szCs w:val="18"/>
    </w:rPr>
  </w:style>
  <w:style w:type="character" w:customStyle="1" w:styleId="38">
    <w:name w:val="标题 4 Char Char"/>
    <w:qFormat/>
    <w:uiPriority w:val="0"/>
    <w:rPr>
      <w:rFonts w:ascii="Calibri" w:hAnsi="Calibri"/>
      <w:b/>
      <w:bCs/>
      <w:sz w:val="28"/>
      <w:szCs w:val="28"/>
      <w:lang w:eastAsia="en-US" w:bidi="en-US"/>
    </w:rPr>
  </w:style>
  <w:style w:type="character" w:customStyle="1" w:styleId="39">
    <w:name w:val="文档结构图 Char"/>
    <w:basedOn w:val="15"/>
    <w:link w:val="5"/>
    <w:qFormat/>
    <w:uiPriority w:val="0"/>
    <w:rPr>
      <w:rFonts w:ascii="宋体"/>
      <w:sz w:val="18"/>
      <w:szCs w:val="18"/>
    </w:rPr>
  </w:style>
  <w:style w:type="character" w:customStyle="1" w:styleId="40">
    <w:name w:val="批注文字 Char1"/>
    <w:basedOn w:val="15"/>
    <w:semiHidden/>
    <w:qFormat/>
    <w:uiPriority w:val="99"/>
    <w:rPr>
      <w:kern w:val="2"/>
      <w:sz w:val="21"/>
      <w:szCs w:val="22"/>
    </w:rPr>
  </w:style>
  <w:style w:type="character" w:customStyle="1" w:styleId="41">
    <w:name w:val="明显强调1"/>
    <w:basedOn w:val="15"/>
    <w:qFormat/>
    <w:uiPriority w:val="21"/>
    <w:rPr>
      <w:b/>
      <w:bCs/>
      <w:i/>
      <w:iCs/>
      <w:color w:val="4F81BD"/>
    </w:rPr>
  </w:style>
  <w:style w:type="character" w:customStyle="1" w:styleId="42">
    <w:name w:val="文档结构图 Char1"/>
    <w:basedOn w:val="15"/>
    <w:semiHidden/>
    <w:qFormat/>
    <w:uiPriority w:val="99"/>
    <w:rPr>
      <w:rFonts w:ascii="宋体" w:eastAsia="宋体"/>
      <w:sz w:val="18"/>
      <w:szCs w:val="18"/>
    </w:rPr>
  </w:style>
  <w:style w:type="character" w:customStyle="1" w:styleId="43">
    <w:name w:val="脚注文本 Char2"/>
    <w:basedOn w:val="1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3375</Words>
  <Characters>3642</Characters>
  <Lines>12</Lines>
  <Paragraphs>3</Paragraphs>
  <TotalTime>0</TotalTime>
  <ScaleCrop>false</ScaleCrop>
  <LinksUpToDate>false</LinksUpToDate>
  <CharactersWithSpaces>3694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2020-02-27T03:48:00Z</dcterms:created>
  <dc:creator>裴建君2</dc:creator>
  <cp:lastModifiedBy>丁蒙/办公室/南宁/PBC</cp:lastModifiedBy>
  <cp:lastPrinted>2020-09-23T02:38:00Z</cp:lastPrinted>
  <dcterms:modified xsi:type="dcterms:W3CDTF">2023-08-30T09:46:43Z</dcterms:modified>
  <dc:title>编号：57016               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D5AC2C7EEBF14998ACBDA3D368CF6860_12</vt:lpwstr>
  </property>
</Properties>
</file>