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编号：</w:t>
      </w:r>
      <w:r>
        <w:rPr>
          <w:rFonts w:hint="eastAsia" w:ascii="Times New Roman" w:hAnsi="Times New Roman" w:eastAsia="黑体" w:cs="Times New Roman"/>
          <w:color w:val="auto"/>
          <w:sz w:val="30"/>
          <w:szCs w:val="30"/>
        </w:rPr>
        <w:t>000171103002</w:t>
      </w:r>
      <w:r>
        <w:rPr>
          <w:rFonts w:ascii="Times New Roman" w:hAnsi="Times New Roman" w:eastAsia="黑体" w:cs="Times New Roman"/>
          <w:color w:val="auto"/>
          <w:sz w:val="30"/>
          <w:szCs w:val="30"/>
        </w:rPr>
        <w:t xml:space="preserve">               </w:t>
      </w: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30"/>
          <w:szCs w:val="30"/>
        </w:rPr>
      </w:pPr>
    </w:p>
    <w:p>
      <w:pPr>
        <w:ind w:right="300"/>
        <w:jc w:val="center"/>
        <w:rPr>
          <w:rFonts w:hint="eastAsia" w:ascii="Times New Roman" w:hAnsi="Times New Roman" w:eastAsia="黑体" w:cs="Times New Roman"/>
          <w:color w:val="auto"/>
          <w:kern w:val="2"/>
          <w:sz w:val="52"/>
          <w:szCs w:val="52"/>
          <w:lang w:val="en-US" w:eastAsia="zh-CN" w:bidi="ar-SA"/>
        </w:rPr>
      </w:pPr>
      <w:r>
        <w:rPr>
          <w:rFonts w:hint="eastAsia" w:ascii="Times New Roman" w:hAnsi="Times New Roman" w:eastAsia="黑体" w:cs="Times New Roman"/>
          <w:color w:val="auto"/>
          <w:kern w:val="2"/>
          <w:sz w:val="52"/>
          <w:szCs w:val="52"/>
          <w:lang w:val="en-US" w:eastAsia="zh-CN" w:bidi="ar-SA"/>
        </w:rPr>
        <w:t>“分局办理的服务贸易外汇存放境外核准”</w:t>
      </w:r>
    </w:p>
    <w:p>
      <w:pPr>
        <w:ind w:right="300"/>
        <w:jc w:val="center"/>
        <w:rPr>
          <w:rFonts w:hint="eastAsia" w:ascii="Times New Roman" w:hAnsi="Times New Roman" w:eastAsia="黑体" w:cs="Times New Roman"/>
          <w:color w:val="auto"/>
          <w:kern w:val="2"/>
          <w:sz w:val="52"/>
          <w:szCs w:val="52"/>
          <w:lang w:val="en-US" w:eastAsia="zh-CN" w:bidi="ar-SA"/>
        </w:rPr>
      </w:pPr>
      <w:r>
        <w:rPr>
          <w:rFonts w:hint="eastAsia" w:ascii="Times New Roman" w:hAnsi="Times New Roman" w:eastAsia="黑体" w:cs="Times New Roman"/>
          <w:color w:val="auto"/>
          <w:kern w:val="2"/>
          <w:sz w:val="52"/>
          <w:szCs w:val="52"/>
          <w:lang w:val="en-US" w:eastAsia="zh-CN" w:bidi="ar-SA"/>
        </w:rPr>
        <w:t>行政审批服务指南</w:t>
      </w:r>
    </w:p>
    <w:p>
      <w:pPr>
        <w:ind w:right="300"/>
        <w:jc w:val="center"/>
        <w:rPr>
          <w:rFonts w:hint="eastAsia" w:ascii="Times New Roman" w:hAnsi="Times New Roman" w:eastAsia="黑体" w:cs="Times New Roman"/>
          <w:color w:val="auto"/>
          <w:kern w:val="2"/>
          <w:sz w:val="52"/>
          <w:szCs w:val="52"/>
          <w:lang w:val="en-US" w:eastAsia="zh-CN" w:bidi="ar-SA"/>
        </w:rPr>
      </w:pPr>
    </w:p>
    <w:p>
      <w:pPr>
        <w:ind w:right="300"/>
        <w:jc w:val="center"/>
        <w:rPr>
          <w:rFonts w:hint="eastAsia" w:ascii="Times New Roman" w:hAnsi="Times New Roman" w:eastAsia="黑体" w:cs="Times New Roman"/>
          <w:color w:val="auto"/>
          <w:kern w:val="2"/>
          <w:sz w:val="52"/>
          <w:szCs w:val="52"/>
          <w:lang w:val="en-US" w:eastAsia="zh-CN" w:bidi="ar-SA"/>
        </w:rPr>
      </w:pPr>
    </w:p>
    <w:p>
      <w:pPr>
        <w:ind w:right="300"/>
        <w:jc w:val="center"/>
        <w:rPr>
          <w:rFonts w:hint="eastAsia" w:ascii="Times New Roman" w:hAnsi="Times New Roman" w:eastAsia="黑体" w:cs="Times New Roman"/>
          <w:color w:val="auto"/>
          <w:kern w:val="2"/>
          <w:sz w:val="52"/>
          <w:szCs w:val="52"/>
          <w:lang w:val="en-US" w:eastAsia="zh-CN" w:bidi="ar-SA"/>
        </w:rPr>
      </w:pPr>
    </w:p>
    <w:p>
      <w:pPr>
        <w:ind w:right="300"/>
        <w:jc w:val="center"/>
        <w:rPr>
          <w:rFonts w:hint="eastAsia" w:ascii="Times New Roman" w:hAnsi="Times New Roman" w:eastAsia="黑体" w:cs="Times New Roman"/>
          <w:color w:val="auto"/>
          <w:kern w:val="2"/>
          <w:sz w:val="52"/>
          <w:szCs w:val="52"/>
          <w:lang w:val="en-US" w:eastAsia="zh-CN" w:bidi="ar-SA"/>
        </w:rPr>
      </w:pPr>
    </w:p>
    <w:p>
      <w:pPr>
        <w:ind w:right="300"/>
        <w:jc w:val="center"/>
        <w:rPr>
          <w:rFonts w:hint="eastAsia" w:ascii="Times New Roman" w:hAnsi="Times New Roman" w:eastAsia="黑体" w:cs="Times New Roman"/>
          <w:color w:val="auto"/>
          <w:kern w:val="2"/>
          <w:sz w:val="52"/>
          <w:szCs w:val="52"/>
          <w:lang w:val="en-US" w:eastAsia="zh-CN" w:bidi="ar-SA"/>
        </w:rPr>
      </w:pPr>
    </w:p>
    <w:p>
      <w:pPr>
        <w:ind w:right="300"/>
        <w:jc w:val="center"/>
        <w:rPr>
          <w:rFonts w:hint="eastAsia" w:ascii="Times New Roman" w:hAnsi="Times New Roman" w:eastAsia="黑体" w:cs="Times New Roman"/>
          <w:color w:val="auto"/>
          <w:kern w:val="2"/>
          <w:sz w:val="52"/>
          <w:szCs w:val="52"/>
          <w:lang w:val="en-US" w:eastAsia="zh-CN" w:bidi="ar-SA"/>
        </w:rPr>
      </w:pPr>
    </w:p>
    <w:p>
      <w:pPr>
        <w:ind w:right="300"/>
        <w:jc w:val="center"/>
        <w:rPr>
          <w:rFonts w:hint="eastAsia" w:ascii="Times New Roman" w:hAnsi="Times New Roman" w:eastAsia="黑体" w:cs="Times New Roman"/>
          <w:color w:val="auto"/>
          <w:kern w:val="2"/>
          <w:sz w:val="52"/>
          <w:szCs w:val="52"/>
          <w:lang w:val="en-US" w:eastAsia="zh-CN" w:bidi="ar-SA"/>
        </w:rPr>
      </w:pPr>
    </w:p>
    <w:p>
      <w:pPr>
        <w:ind w:right="300"/>
        <w:jc w:val="center"/>
        <w:rPr>
          <w:rFonts w:hint="eastAsia" w:ascii="Times New Roman" w:hAnsi="Times New Roman" w:eastAsia="黑体" w:cs="Times New Roman"/>
          <w:color w:val="auto"/>
          <w:kern w:val="2"/>
          <w:sz w:val="52"/>
          <w:szCs w:val="52"/>
          <w:lang w:val="en-US" w:eastAsia="zh-CN" w:bidi="ar-SA"/>
        </w:rPr>
      </w:pPr>
    </w:p>
    <w:p>
      <w:pPr>
        <w:ind w:right="300"/>
        <w:jc w:val="center"/>
        <w:rPr>
          <w:rFonts w:hint="eastAsia" w:ascii="Times New Roman" w:hAnsi="Times New Roman" w:eastAsia="黑体" w:cs="Times New Roman"/>
          <w:color w:val="auto"/>
          <w:kern w:val="2"/>
          <w:sz w:val="52"/>
          <w:szCs w:val="52"/>
          <w:lang w:val="en-US" w:eastAsia="zh-CN" w:bidi="ar-SA"/>
        </w:rPr>
      </w:pPr>
    </w:p>
    <w:p>
      <w:pPr>
        <w:ind w:right="300"/>
        <w:jc w:val="center"/>
        <w:rPr>
          <w:rFonts w:hint="eastAsia" w:ascii="宋体" w:hAnsi="宋体" w:eastAsia="宋体" w:cs="宋体"/>
          <w:b w:val="0"/>
          <w:bCs w:val="0"/>
          <w:color w:val="auto"/>
          <w:sz w:val="40"/>
          <w:szCs w:val="40"/>
          <w:lang w:val="en-US" w:eastAsia="zh-CN"/>
        </w:rPr>
      </w:pPr>
      <w:r>
        <w:rPr>
          <w:rFonts w:hint="eastAsia" w:ascii="宋体" w:hAnsi="宋体" w:eastAsia="宋体" w:cs="宋体"/>
          <w:b w:val="0"/>
          <w:bCs w:val="0"/>
          <w:color w:val="auto"/>
          <w:sz w:val="40"/>
          <w:szCs w:val="40"/>
          <w:lang w:val="en-US" w:eastAsia="zh-CN"/>
        </w:rPr>
        <w:t>国家外汇管理局广西壮族自治区分局</w:t>
      </w:r>
    </w:p>
    <w:p>
      <w:pPr>
        <w:pStyle w:val="28"/>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p>
    <w:p>
      <w:pPr>
        <w:ind w:right="300"/>
        <w:jc w:val="center"/>
        <w:rPr>
          <w:rFonts w:hint="eastAsia" w:ascii="宋体" w:hAnsi="宋体" w:eastAsia="宋体" w:cs="宋体"/>
          <w:b w:val="0"/>
          <w:bCs w:val="0"/>
          <w:color w:val="auto"/>
          <w:sz w:val="40"/>
          <w:szCs w:val="40"/>
          <w:lang w:val="en-US" w:eastAsia="zh-CN"/>
        </w:rPr>
      </w:pPr>
      <w:r>
        <w:rPr>
          <w:rFonts w:hint="eastAsia" w:ascii="宋体" w:hAnsi="宋体" w:eastAsia="宋体" w:cs="宋体"/>
          <w:b w:val="0"/>
          <w:bCs w:val="0"/>
          <w:color w:val="auto"/>
          <w:sz w:val="40"/>
          <w:szCs w:val="40"/>
          <w:lang w:val="en-US" w:eastAsia="zh-CN"/>
        </w:rPr>
        <w:t>202</w:t>
      </w:r>
      <w:r>
        <w:rPr>
          <w:rFonts w:hint="eastAsia" w:ascii="宋体" w:hAnsi="宋体" w:cs="宋体"/>
          <w:b w:val="0"/>
          <w:bCs w:val="0"/>
          <w:color w:val="auto"/>
          <w:sz w:val="40"/>
          <w:szCs w:val="40"/>
          <w:lang w:val="en-US" w:eastAsia="zh-CN"/>
        </w:rPr>
        <w:t>3</w:t>
      </w:r>
      <w:r>
        <w:rPr>
          <w:rFonts w:hint="eastAsia" w:ascii="宋体" w:hAnsi="宋体" w:eastAsia="宋体" w:cs="宋体"/>
          <w:b w:val="0"/>
          <w:bCs w:val="0"/>
          <w:color w:val="auto"/>
          <w:sz w:val="40"/>
          <w:szCs w:val="40"/>
          <w:lang w:val="en-US" w:eastAsia="zh-CN"/>
        </w:rPr>
        <w:t>年</w:t>
      </w:r>
      <w:r>
        <w:rPr>
          <w:rFonts w:hint="eastAsia" w:ascii="宋体" w:hAnsi="宋体" w:cs="宋体"/>
          <w:b w:val="0"/>
          <w:bCs w:val="0"/>
          <w:color w:val="auto"/>
          <w:sz w:val="40"/>
          <w:szCs w:val="40"/>
          <w:lang w:val="en-US" w:eastAsia="zh-CN"/>
        </w:rPr>
        <w:t>8</w:t>
      </w:r>
      <w:r>
        <w:rPr>
          <w:rFonts w:hint="eastAsia" w:ascii="宋体" w:hAnsi="宋体" w:eastAsia="宋体" w:cs="宋体"/>
          <w:b w:val="0"/>
          <w:bCs w:val="0"/>
          <w:color w:val="auto"/>
          <w:sz w:val="40"/>
          <w:szCs w:val="40"/>
          <w:lang w:val="en-US" w:eastAsia="zh-CN"/>
        </w:rPr>
        <w:t>月</w:t>
      </w:r>
    </w:p>
    <w:p>
      <w:pPr>
        <w:ind w:right="300"/>
        <w:jc w:val="center"/>
        <w:rPr>
          <w:rFonts w:hint="eastAsia" w:ascii="宋体" w:hAnsi="宋体" w:eastAsia="宋体" w:cs="宋体"/>
          <w:b w:val="0"/>
          <w:bCs w:val="0"/>
          <w:color w:val="auto"/>
          <w:sz w:val="40"/>
          <w:szCs w:val="40"/>
          <w:lang w:val="en-US" w:eastAsia="zh-CN"/>
        </w:rPr>
      </w:pPr>
      <w:r>
        <w:rPr>
          <w:rFonts w:hint="eastAsia" w:ascii="宋体" w:hAnsi="宋体" w:eastAsia="宋体" w:cs="宋体"/>
          <w:b w:val="0"/>
          <w:bCs w:val="0"/>
          <w:color w:val="auto"/>
          <w:sz w:val="40"/>
          <w:szCs w:val="40"/>
          <w:lang w:val="en-US" w:eastAsia="zh-CN"/>
        </w:rPr>
        <w:br w:type="page"/>
      </w:r>
    </w:p>
    <w:p>
      <w:pPr>
        <w:adjustRightInd w:val="0"/>
        <w:snapToGrid w:val="0"/>
        <w:spacing w:line="360" w:lineRule="auto"/>
        <w:jc w:val="left"/>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val="en-US" w:eastAsia="zh-CN"/>
        </w:rPr>
        <w:t xml:space="preserve">    </w:t>
      </w:r>
      <w:r>
        <w:rPr>
          <w:rFonts w:ascii="Times New Roman" w:hAnsi="Times New Roman" w:eastAsia="黑体" w:cs="Times New Roman"/>
          <w:color w:val="auto"/>
          <w:sz w:val="30"/>
          <w:szCs w:val="30"/>
        </w:rPr>
        <w:t>一、项目信息</w:t>
      </w:r>
    </w:p>
    <w:p>
      <w:pPr>
        <w:adjustRightInd w:val="0"/>
        <w:snapToGrid w:val="0"/>
        <w:spacing w:line="360" w:lineRule="auto"/>
        <w:ind w:firstLine="585"/>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项目名称：分局办理的服务贸易外汇存放境外核准；</w:t>
      </w:r>
    </w:p>
    <w:p>
      <w:pPr>
        <w:adjustRightInd w:val="0"/>
        <w:snapToGrid w:val="0"/>
        <w:spacing w:line="360" w:lineRule="auto"/>
        <w:ind w:firstLine="585"/>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项目编号：</w:t>
      </w:r>
      <w:r>
        <w:rPr>
          <w:rFonts w:hint="default" w:ascii="Times New Roman" w:hAnsi="Times New Roman" w:eastAsia="仿宋_GB2312" w:cs="Times New Roman"/>
          <w:color w:val="auto"/>
          <w:sz w:val="30"/>
          <w:szCs w:val="30"/>
        </w:rPr>
        <w:t>000171103002</w:t>
      </w:r>
      <w:r>
        <w:rPr>
          <w:rFonts w:hint="eastAsia" w:ascii="仿宋_GB2312" w:hAnsi="仿宋_GB2312" w:eastAsia="仿宋_GB2312" w:cs="仿宋_GB2312"/>
          <w:color w:val="auto"/>
          <w:sz w:val="30"/>
          <w:szCs w:val="30"/>
        </w:rPr>
        <w:t>；</w:t>
      </w:r>
    </w:p>
    <w:p>
      <w:pPr>
        <w:adjustRightInd w:val="0"/>
        <w:snapToGrid w:val="0"/>
        <w:spacing w:line="360" w:lineRule="auto"/>
        <w:ind w:firstLine="585"/>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审批类别：行政许可。</w:t>
      </w:r>
    </w:p>
    <w:p>
      <w:pPr>
        <w:adjustRightInd w:val="0"/>
        <w:snapToGrid w:val="0"/>
        <w:spacing w:line="360" w:lineRule="auto"/>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二、适用范围</w:t>
      </w:r>
    </w:p>
    <w:p>
      <w:pPr>
        <w:adjustRightInd w:val="0"/>
        <w:snapToGri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本指南适用于“</w:t>
      </w:r>
      <w:r>
        <w:rPr>
          <w:rFonts w:hint="eastAsia" w:ascii="Times New Roman" w:hAnsi="Times New Roman" w:eastAsia="仿宋_GB2312" w:cs="Times New Roman"/>
          <w:color w:val="auto"/>
          <w:sz w:val="30"/>
          <w:szCs w:val="30"/>
        </w:rPr>
        <w:t>分局办理的服务贸易外汇存放境外外汇账户变更</w:t>
      </w:r>
      <w:r>
        <w:rPr>
          <w:rFonts w:ascii="Times New Roman" w:hAnsi="Times New Roman" w:eastAsia="仿宋_GB2312" w:cs="Times New Roman"/>
          <w:color w:val="auto"/>
          <w:sz w:val="30"/>
          <w:szCs w:val="30"/>
        </w:rPr>
        <w:t>”的申请和办理。</w:t>
      </w:r>
    </w:p>
    <w:p>
      <w:pPr>
        <w:adjustRightInd w:val="0"/>
        <w:snapToGrid w:val="0"/>
        <w:spacing w:line="360" w:lineRule="auto"/>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三、设定依据</w:t>
      </w:r>
    </w:p>
    <w:p>
      <w:pPr>
        <w:widowControl w:val="0"/>
        <w:wordWrap/>
        <w:adjustRightInd w:val="0"/>
        <w:snapToGrid w:val="0"/>
        <w:spacing w:line="360" w:lineRule="auto"/>
        <w:ind w:left="0" w:leftChars="0" w:right="0" w:firstLine="600" w:firstLineChars="200"/>
        <w:jc w:val="left"/>
        <w:textAlignment w:val="auto"/>
        <w:outlineLvl w:val="9"/>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（一）</w:t>
      </w:r>
      <w:r>
        <w:rPr>
          <w:rFonts w:hint="eastAsia" w:ascii="Times New Roman" w:hAnsi="Times New Roman" w:eastAsia="仿宋_GB2312" w:cs="Times New Roman"/>
          <w:color w:val="auto"/>
          <w:sz w:val="30"/>
          <w:szCs w:val="30"/>
        </w:rPr>
        <w:t>《中华人民共和国外汇管理条例》第九条</w:t>
      </w:r>
    </w:p>
    <w:p>
      <w:pPr>
        <w:widowControl w:val="0"/>
        <w:wordWrap/>
        <w:adjustRightInd w:val="0"/>
        <w:snapToGrid w:val="0"/>
        <w:spacing w:line="360" w:lineRule="auto"/>
        <w:ind w:left="0" w:leftChars="0" w:right="0" w:firstLine="600" w:firstLineChars="200"/>
        <w:jc w:val="left"/>
        <w:textAlignment w:val="auto"/>
        <w:outlineLvl w:val="9"/>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（二）</w:t>
      </w:r>
      <w:r>
        <w:rPr>
          <w:rFonts w:hint="eastAsia" w:ascii="Times New Roman" w:hAnsi="Times New Roman" w:eastAsia="仿宋_GB2312" w:cs="Times New Roman"/>
          <w:color w:val="auto"/>
          <w:sz w:val="30"/>
          <w:szCs w:val="30"/>
        </w:rPr>
        <w:t>《国务院对确需保留的行政审批项目设定行政许可的决定》附件第493项</w:t>
      </w:r>
    </w:p>
    <w:p>
      <w:pPr>
        <w:adjustRightInd w:val="0"/>
        <w:snapToGrid w:val="0"/>
        <w:spacing w:line="360" w:lineRule="auto"/>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四、办理依据</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（一）</w:t>
      </w:r>
      <w:r>
        <w:rPr>
          <w:rFonts w:hint="eastAsia" w:ascii="Times New Roman" w:hAnsi="Times New Roman" w:eastAsia="仿宋_GB2312" w:cs="Times New Roman"/>
          <w:color w:val="auto"/>
          <w:sz w:val="30"/>
          <w:szCs w:val="30"/>
        </w:rPr>
        <w:t>《经常项目外汇业务指引（2020年版）》（汇发〔2020〕14号文印发）第一百六十一条、第一百六十二条和第一百六十三条</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（二）</w:t>
      </w:r>
      <w:r>
        <w:rPr>
          <w:rFonts w:hint="eastAsia" w:ascii="Times New Roman" w:hAnsi="Times New Roman" w:eastAsia="仿宋_GB2312" w:cs="Times New Roman"/>
          <w:color w:val="auto"/>
          <w:sz w:val="30"/>
          <w:szCs w:val="30"/>
        </w:rPr>
        <w:t>《国家外汇管理局行政许可实施办法》（国家外汇管理局公告2021年第1号）全文</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五、</w:t>
      </w:r>
      <w:r>
        <w:rPr>
          <w:rFonts w:ascii="Times New Roman" w:hAnsi="Times New Roman" w:eastAsia="黑体" w:cs="Times New Roman"/>
          <w:color w:val="auto"/>
          <w:sz w:val="30"/>
          <w:szCs w:val="30"/>
        </w:rPr>
        <w:t>受理机构</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申请人注册所在地国家外汇管理局分局。</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六、</w:t>
      </w:r>
      <w:r>
        <w:rPr>
          <w:rFonts w:ascii="Times New Roman" w:hAnsi="Times New Roman" w:eastAsia="黑体" w:cs="Times New Roman"/>
          <w:color w:val="auto"/>
          <w:sz w:val="30"/>
          <w:szCs w:val="30"/>
        </w:rPr>
        <w:t>决定机构</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申请人注册所在地国家外汇管理局分局</w:t>
      </w:r>
      <w:r>
        <w:rPr>
          <w:rFonts w:ascii="Times New Roman" w:hAnsi="Times New Roman" w:eastAsia="仿宋_GB2312" w:cs="Times New Roman"/>
          <w:color w:val="auto"/>
          <w:sz w:val="30"/>
          <w:szCs w:val="30"/>
        </w:rPr>
        <w:t>。</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七、</w:t>
      </w:r>
      <w:r>
        <w:rPr>
          <w:rFonts w:ascii="Times New Roman" w:hAnsi="Times New Roman" w:eastAsia="黑体" w:cs="Times New Roman"/>
          <w:color w:val="auto"/>
          <w:sz w:val="30"/>
          <w:szCs w:val="30"/>
        </w:rPr>
        <w:t>审批数量</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无数量限制。</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八、</w:t>
      </w:r>
      <w:r>
        <w:rPr>
          <w:rFonts w:hint="eastAsia" w:ascii="Times New Roman" w:hAnsi="Times New Roman" w:eastAsia="黑体" w:cs="Times New Roman"/>
          <w:color w:val="auto"/>
          <w:sz w:val="30"/>
          <w:szCs w:val="30"/>
        </w:rPr>
        <w:t>办事条件及依据</w:t>
      </w:r>
    </w:p>
    <w:p>
      <w:pPr>
        <w:adjustRightInd w:val="0"/>
        <w:snapToGrid w:val="0"/>
        <w:spacing w:line="360" w:lineRule="auto"/>
        <w:ind w:firstLine="600" w:firstLineChars="200"/>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lang w:eastAsia="zh-CN"/>
        </w:rPr>
        <w:t>（一）</w:t>
      </w:r>
      <w:r>
        <w:rPr>
          <w:rFonts w:hint="eastAsia" w:ascii="楷体_GB2312" w:hAnsi="楷体_GB2312" w:eastAsia="楷体_GB2312" w:cs="楷体_GB2312"/>
          <w:color w:val="auto"/>
          <w:sz w:val="30"/>
          <w:szCs w:val="30"/>
        </w:rPr>
        <w:t>准予行政许可的条件</w:t>
      </w:r>
    </w:p>
    <w:p>
      <w:pPr>
        <w:adjustRightInd w:val="0"/>
        <w:snapToGrid w:val="0"/>
        <w:spacing w:line="360" w:lineRule="auto"/>
        <w:ind w:firstLine="602" w:firstLineChars="200"/>
        <w:rPr>
          <w:rFonts w:hint="eastAsia" w:ascii="Times New Roman" w:hAnsi="Times New Roman" w:eastAsia="仿宋_GB2312" w:cs="Times New Roman"/>
          <w:b/>
          <w:bCs/>
          <w:color w:val="auto"/>
          <w:sz w:val="30"/>
          <w:szCs w:val="30"/>
        </w:rPr>
      </w:pPr>
      <w:r>
        <w:rPr>
          <w:rFonts w:hint="eastAsia" w:ascii="Times New Roman" w:hAnsi="Times New Roman" w:eastAsia="仿宋_GB2312" w:cs="Times New Roman"/>
          <w:b/>
          <w:bCs/>
          <w:color w:val="auto"/>
          <w:sz w:val="30"/>
          <w:szCs w:val="30"/>
          <w:lang w:val="en-US" w:eastAsia="zh-CN"/>
        </w:rPr>
        <w:t>1.</w:t>
      </w:r>
      <w:r>
        <w:rPr>
          <w:rFonts w:hint="eastAsia" w:ascii="Times New Roman" w:hAnsi="Times New Roman" w:eastAsia="仿宋_GB2312" w:cs="Times New Roman"/>
          <w:b/>
          <w:bCs/>
          <w:color w:val="auto"/>
          <w:sz w:val="30"/>
          <w:szCs w:val="30"/>
        </w:rPr>
        <w:t>分局办理的服务贸易外汇存放境外外汇账户新办</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申请人为境内机构，服务贸易收入来源真实合法，且在境外有符合相关规定的支付需求；近两年无违反外汇管理规定行为。</w:t>
      </w:r>
    </w:p>
    <w:p>
      <w:pPr>
        <w:adjustRightInd w:val="0"/>
        <w:snapToGrid w:val="0"/>
        <w:spacing w:line="360" w:lineRule="auto"/>
        <w:ind w:firstLine="602" w:firstLineChars="200"/>
        <w:rPr>
          <w:rFonts w:hint="eastAsia" w:ascii="Times New Roman" w:hAnsi="Times New Roman" w:eastAsia="仿宋_GB2312" w:cs="Times New Roman"/>
          <w:b/>
          <w:bCs/>
          <w:color w:val="auto"/>
          <w:sz w:val="30"/>
          <w:szCs w:val="30"/>
        </w:rPr>
      </w:pPr>
      <w:r>
        <w:rPr>
          <w:rFonts w:hint="eastAsia" w:ascii="Times New Roman" w:hAnsi="Times New Roman" w:eastAsia="仿宋_GB2312" w:cs="Times New Roman"/>
          <w:b/>
          <w:bCs/>
          <w:color w:val="auto"/>
          <w:sz w:val="30"/>
          <w:szCs w:val="30"/>
          <w:lang w:val="en-US" w:eastAsia="zh-CN"/>
        </w:rPr>
        <w:t>2.</w:t>
      </w:r>
      <w:r>
        <w:rPr>
          <w:rFonts w:hint="eastAsia" w:ascii="Times New Roman" w:hAnsi="Times New Roman" w:eastAsia="仿宋_GB2312" w:cs="Times New Roman"/>
          <w:b/>
          <w:bCs/>
          <w:color w:val="auto"/>
          <w:sz w:val="30"/>
          <w:szCs w:val="30"/>
        </w:rPr>
        <w:t>分局办理的服务贸易外汇存放境外外汇账户变更</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企业提高存放境外规模、境内企业集团调整参与成员公司的。</w:t>
      </w:r>
    </w:p>
    <w:p>
      <w:pPr>
        <w:adjustRightInd w:val="0"/>
        <w:snapToGrid w:val="0"/>
        <w:spacing w:line="360" w:lineRule="auto"/>
        <w:ind w:firstLine="600" w:firstLineChars="200"/>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lang w:eastAsia="zh-CN"/>
        </w:rPr>
        <w:t>（二）</w:t>
      </w:r>
      <w:r>
        <w:rPr>
          <w:rFonts w:hint="eastAsia" w:ascii="楷体_GB2312" w:hAnsi="楷体_GB2312" w:eastAsia="楷体_GB2312" w:cs="楷体_GB2312"/>
          <w:color w:val="auto"/>
          <w:sz w:val="30"/>
          <w:szCs w:val="30"/>
        </w:rPr>
        <w:t>规定行政许可条件的依据</w:t>
      </w:r>
    </w:p>
    <w:p>
      <w:pPr>
        <w:adjustRightInd w:val="0"/>
        <w:snapToGrid w:val="0"/>
        <w:spacing w:line="360" w:lineRule="auto"/>
        <w:ind w:firstLine="602" w:firstLineChars="200"/>
        <w:rPr>
          <w:rFonts w:hint="eastAsia" w:ascii="Times New Roman" w:hAnsi="Times New Roman" w:eastAsia="仿宋_GB2312" w:cs="Times New Roman"/>
          <w:b/>
          <w:bCs/>
          <w:color w:val="auto"/>
          <w:sz w:val="30"/>
          <w:szCs w:val="30"/>
        </w:rPr>
      </w:pPr>
      <w:r>
        <w:rPr>
          <w:rFonts w:hint="eastAsia" w:ascii="Times New Roman" w:hAnsi="Times New Roman" w:eastAsia="仿宋_GB2312" w:cs="Times New Roman"/>
          <w:b/>
          <w:bCs/>
          <w:color w:val="auto"/>
          <w:sz w:val="30"/>
          <w:szCs w:val="30"/>
          <w:lang w:val="en-US" w:eastAsia="zh-CN"/>
        </w:rPr>
        <w:t>1.</w:t>
      </w:r>
      <w:r>
        <w:rPr>
          <w:rFonts w:hint="eastAsia" w:ascii="Times New Roman" w:hAnsi="Times New Roman" w:eastAsia="仿宋_GB2312" w:cs="Times New Roman"/>
          <w:b/>
          <w:bCs/>
          <w:color w:val="auto"/>
          <w:sz w:val="30"/>
          <w:szCs w:val="30"/>
        </w:rPr>
        <w:t xml:space="preserve">分局办理的服务贸易外汇存放境外外汇账户新办  </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经常项目外汇业务指引（2020年版）》（汇发〔2020〕14号文印发）第一百六十二条存放境外应具备下列条件：（一）货物出口收入或服务贸易外汇收入来源真实合法，且在境外有符合相关规定的支付需求；（二）近两年无违反外汇管理规定行为；……。</w:t>
      </w:r>
    </w:p>
    <w:p>
      <w:pPr>
        <w:adjustRightInd w:val="0"/>
        <w:snapToGrid w:val="0"/>
        <w:spacing w:line="360" w:lineRule="auto"/>
        <w:ind w:firstLine="602" w:firstLineChars="200"/>
        <w:rPr>
          <w:rFonts w:hint="eastAsia" w:ascii="Times New Roman" w:hAnsi="Times New Roman" w:eastAsia="仿宋_GB2312" w:cs="Times New Roman"/>
          <w:b/>
          <w:bCs/>
          <w:color w:val="auto"/>
          <w:sz w:val="30"/>
          <w:szCs w:val="30"/>
        </w:rPr>
      </w:pPr>
      <w:r>
        <w:rPr>
          <w:rFonts w:hint="eastAsia" w:ascii="Times New Roman" w:hAnsi="Times New Roman" w:eastAsia="仿宋_GB2312" w:cs="Times New Roman"/>
          <w:b/>
          <w:bCs/>
          <w:color w:val="auto"/>
          <w:sz w:val="30"/>
          <w:szCs w:val="30"/>
          <w:lang w:val="en-US" w:eastAsia="zh-CN"/>
        </w:rPr>
        <w:t>2.</w:t>
      </w:r>
      <w:r>
        <w:rPr>
          <w:rFonts w:hint="eastAsia" w:ascii="Times New Roman" w:hAnsi="Times New Roman" w:eastAsia="仿宋_GB2312" w:cs="Times New Roman"/>
          <w:b/>
          <w:bCs/>
          <w:color w:val="auto"/>
          <w:sz w:val="30"/>
          <w:szCs w:val="30"/>
        </w:rPr>
        <w:t>分局办理的服务贸易外汇存放境外外汇账户变更</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《经常项目外汇业务指引（2020年版）》（汇发〔2020〕14号文印发）第一百六十三条……企业提高存放境外规模、境内企业集团调整参与成员公司的，应持书面申请向所在地外汇局申请变更登记。</w:t>
      </w:r>
    </w:p>
    <w:p>
      <w:pPr>
        <w:widowControl w:val="0"/>
        <w:numPr>
          <w:ilvl w:val="0"/>
          <w:numId w:val="0"/>
        </w:numPr>
        <w:wordWrap/>
        <w:adjustRightInd w:val="0"/>
        <w:snapToGrid w:val="0"/>
        <w:spacing w:line="360" w:lineRule="auto"/>
        <w:ind w:left="0" w:leftChars="0" w:right="0" w:firstLine="600" w:firstLineChars="200"/>
        <w:jc w:val="both"/>
        <w:textAlignment w:val="auto"/>
        <w:outlineLvl w:val="9"/>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九、</w:t>
      </w:r>
      <w:r>
        <w:rPr>
          <w:rFonts w:ascii="Times New Roman" w:hAnsi="Times New Roman" w:eastAsia="黑体" w:cs="Times New Roman"/>
          <w:color w:val="auto"/>
          <w:sz w:val="30"/>
          <w:szCs w:val="30"/>
        </w:rPr>
        <w:t>申请材料</w:t>
      </w:r>
    </w:p>
    <w:p>
      <w:pPr>
        <w:adjustRightInd w:val="0"/>
        <w:snapToGrid w:val="0"/>
        <w:spacing w:line="360" w:lineRule="auto"/>
        <w:ind w:firstLine="600" w:firstLineChars="200"/>
        <w:rPr>
          <w:rFonts w:hint="eastAsia" w:ascii="楷体_GB2312" w:hAnsi="楷体_GB2312" w:eastAsia="楷体_GB2312" w:cs="楷体_GB2312"/>
          <w:color w:val="auto"/>
          <w:sz w:val="30"/>
          <w:szCs w:val="30"/>
          <w:lang w:eastAsia="zh-CN"/>
        </w:rPr>
      </w:pPr>
      <w:r>
        <w:rPr>
          <w:rFonts w:hint="eastAsia" w:ascii="楷体_GB2312" w:hAnsi="楷体_GB2312" w:eastAsia="楷体_GB2312" w:cs="楷体_GB2312"/>
          <w:color w:val="auto"/>
          <w:sz w:val="30"/>
          <w:szCs w:val="30"/>
          <w:lang w:eastAsia="zh-CN"/>
        </w:rPr>
        <w:t>（一）申请材料名称</w:t>
      </w:r>
    </w:p>
    <w:p>
      <w:pPr>
        <w:adjustRightInd w:val="0"/>
        <w:snapToGrid w:val="0"/>
        <w:spacing w:line="360" w:lineRule="auto"/>
        <w:ind w:firstLine="602" w:firstLineChars="200"/>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en-US" w:eastAsia="zh-CN"/>
        </w:rPr>
        <w:t>1.</w:t>
      </w:r>
      <w:r>
        <w:rPr>
          <w:rFonts w:hint="eastAsia" w:ascii="仿宋_GB2312" w:hAnsi="仿宋_GB2312" w:eastAsia="仿宋_GB2312" w:cs="仿宋_GB2312"/>
          <w:b/>
          <w:bCs/>
          <w:color w:val="auto"/>
          <w:sz w:val="30"/>
          <w:szCs w:val="30"/>
        </w:rPr>
        <w:t>分局办理的服务贸易外汇存放境外外汇账户新办</w:t>
      </w:r>
    </w:p>
    <w:tbl>
      <w:tblPr>
        <w:tblStyle w:val="15"/>
        <w:tblW w:w="80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718"/>
        <w:gridCol w:w="1477"/>
        <w:gridCol w:w="1134"/>
        <w:gridCol w:w="2021"/>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序号</w:t>
            </w:r>
          </w:p>
        </w:tc>
        <w:tc>
          <w:tcPr>
            <w:tcW w:w="1718"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提交材料名称</w:t>
            </w:r>
          </w:p>
        </w:tc>
        <w:tc>
          <w:tcPr>
            <w:tcW w:w="1477"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原件/</w:t>
            </w:r>
          </w:p>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复印件</w:t>
            </w:r>
          </w:p>
        </w:tc>
        <w:tc>
          <w:tcPr>
            <w:tcW w:w="1134"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份数</w:t>
            </w:r>
          </w:p>
        </w:tc>
        <w:tc>
          <w:tcPr>
            <w:tcW w:w="2021"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要求</w:t>
            </w:r>
          </w:p>
        </w:tc>
        <w:tc>
          <w:tcPr>
            <w:tcW w:w="1200"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jc w:val="center"/>
              <w:rPr>
                <w:rFonts w:hint="eastAsia" w:ascii="Times New Roman" w:hAnsi="Times New Roman" w:eastAsia="仿宋_GB2312" w:cs="Times New Roman"/>
                <w:b w:val="0"/>
                <w:bCs/>
                <w:color w:val="auto"/>
                <w:sz w:val="24"/>
                <w:szCs w:val="24"/>
                <w:lang w:val="en-US" w:eastAsia="zh-CN"/>
              </w:rPr>
            </w:pPr>
            <w:r>
              <w:rPr>
                <w:rFonts w:hint="eastAsia" w:ascii="Times New Roman" w:hAnsi="Times New Roman" w:eastAsia="仿宋_GB2312" w:cs="Times New Roman"/>
                <w:b w:val="0"/>
                <w:bCs/>
                <w:color w:val="auto"/>
                <w:sz w:val="24"/>
                <w:szCs w:val="24"/>
                <w:lang w:val="en-US" w:eastAsia="zh-CN"/>
              </w:rPr>
              <w:t>1</w:t>
            </w:r>
          </w:p>
        </w:tc>
        <w:tc>
          <w:tcPr>
            <w:tcW w:w="1718" w:type="dxa"/>
            <w:vAlign w:val="center"/>
          </w:tcPr>
          <w:p>
            <w:pPr>
              <w:jc w:val="center"/>
              <w:rPr>
                <w:rFonts w:ascii="Times New Roman" w:hAnsi="Times New Roman" w:eastAsia="仿宋_GB2312" w:cs="Times New Roman"/>
                <w:b w:val="0"/>
                <w:bCs/>
                <w:color w:val="auto"/>
                <w:sz w:val="24"/>
                <w:szCs w:val="24"/>
              </w:rPr>
            </w:pPr>
            <w:r>
              <w:rPr>
                <w:rFonts w:hint="eastAsia" w:ascii="Times New Roman" w:hAnsi="Times New Roman" w:eastAsia="仿宋_GB2312" w:cs="Times New Roman"/>
                <w:b w:val="0"/>
                <w:bCs/>
                <w:color w:val="auto"/>
                <w:sz w:val="24"/>
                <w:szCs w:val="24"/>
              </w:rPr>
              <w:t>营业执照（统一社会信用代码证）</w:t>
            </w:r>
          </w:p>
        </w:tc>
        <w:tc>
          <w:tcPr>
            <w:tcW w:w="1477" w:type="dxa"/>
            <w:vAlign w:val="center"/>
          </w:tcPr>
          <w:p>
            <w:pPr>
              <w:jc w:val="center"/>
              <w:rPr>
                <w:rFonts w:hint="eastAsia" w:ascii="Times New Roman" w:hAnsi="Times New Roman" w:eastAsia="仿宋_GB2312" w:cs="Times New Roman"/>
                <w:b w:val="0"/>
                <w:bCs/>
                <w:color w:val="auto"/>
                <w:sz w:val="24"/>
                <w:szCs w:val="24"/>
              </w:rPr>
            </w:pPr>
            <w:r>
              <w:rPr>
                <w:rFonts w:hint="eastAsia" w:ascii="Times New Roman" w:hAnsi="Times New Roman" w:eastAsia="仿宋_GB2312" w:cs="Times New Roman"/>
                <w:b w:val="0"/>
                <w:bCs/>
                <w:color w:val="auto"/>
                <w:sz w:val="24"/>
                <w:szCs w:val="24"/>
              </w:rPr>
              <w:t>原件</w:t>
            </w:r>
            <w:r>
              <w:rPr>
                <w:rFonts w:hint="eastAsia" w:ascii="Times New Roman" w:hAnsi="Times New Roman" w:eastAsia="仿宋_GB2312" w:cs="Times New Roman"/>
                <w:b w:val="0"/>
                <w:bCs/>
                <w:color w:val="auto"/>
                <w:sz w:val="24"/>
                <w:szCs w:val="24"/>
                <w:lang w:eastAsia="zh-CN"/>
              </w:rPr>
              <w:t>或</w:t>
            </w:r>
          </w:p>
          <w:p>
            <w:pPr>
              <w:jc w:val="center"/>
              <w:rPr>
                <w:rFonts w:ascii="Times New Roman" w:hAnsi="Times New Roman" w:eastAsia="仿宋_GB2312" w:cs="Times New Roman"/>
                <w:b w:val="0"/>
                <w:bCs/>
                <w:color w:val="auto"/>
                <w:sz w:val="24"/>
                <w:szCs w:val="24"/>
              </w:rPr>
            </w:pPr>
            <w:r>
              <w:rPr>
                <w:rFonts w:hint="eastAsia" w:ascii="Times New Roman" w:hAnsi="Times New Roman" w:eastAsia="仿宋_GB2312" w:cs="Times New Roman"/>
                <w:b w:val="0"/>
                <w:bCs/>
                <w:color w:val="auto"/>
                <w:sz w:val="24"/>
                <w:szCs w:val="24"/>
              </w:rPr>
              <w:t>复印件</w:t>
            </w:r>
          </w:p>
        </w:tc>
        <w:tc>
          <w:tcPr>
            <w:tcW w:w="1134" w:type="dxa"/>
            <w:vAlign w:val="center"/>
          </w:tcPr>
          <w:p>
            <w:pPr>
              <w:jc w:val="center"/>
              <w:rPr>
                <w:rFonts w:hint="eastAsia" w:ascii="Times New Roman" w:hAnsi="Times New Roman" w:eastAsia="仿宋_GB2312" w:cs="Times New Roman"/>
                <w:b w:val="0"/>
                <w:bCs/>
                <w:color w:val="auto"/>
                <w:sz w:val="24"/>
                <w:szCs w:val="24"/>
                <w:lang w:val="en-US" w:eastAsia="zh-CN"/>
              </w:rPr>
            </w:pPr>
            <w:r>
              <w:rPr>
                <w:rFonts w:hint="eastAsia" w:ascii="Times New Roman" w:hAnsi="Times New Roman" w:eastAsia="仿宋_GB2312" w:cs="Times New Roman"/>
                <w:b w:val="0"/>
                <w:bCs/>
                <w:color w:val="auto"/>
                <w:sz w:val="24"/>
                <w:szCs w:val="24"/>
                <w:lang w:val="en-US" w:eastAsia="zh-CN"/>
              </w:rPr>
              <w:t>1</w:t>
            </w:r>
          </w:p>
        </w:tc>
        <w:tc>
          <w:tcPr>
            <w:tcW w:w="2021" w:type="dxa"/>
            <w:vAlign w:val="center"/>
          </w:tcPr>
          <w:p>
            <w:pPr>
              <w:jc w:val="center"/>
              <w:rPr>
                <w:rFonts w:ascii="Times New Roman" w:hAnsi="Times New Roman" w:eastAsia="仿宋_GB2312" w:cs="Times New Roman"/>
                <w:b/>
                <w:color w:val="auto"/>
                <w:sz w:val="24"/>
                <w:szCs w:val="24"/>
              </w:rPr>
            </w:pPr>
          </w:p>
        </w:tc>
        <w:tc>
          <w:tcPr>
            <w:tcW w:w="1200" w:type="dxa"/>
            <w:vAlign w:val="center"/>
          </w:tcPr>
          <w:p>
            <w:pPr>
              <w:jc w:val="center"/>
              <w:rPr>
                <w:rFonts w:hint="eastAsia" w:ascii="Times New Roman" w:hAnsi="Times New Roman" w:eastAsia="仿宋_GB2312" w:cs="Times New Roman"/>
                <w:b/>
                <w:color w:val="auto"/>
                <w:sz w:val="24"/>
                <w:szCs w:val="24"/>
                <w:lang w:eastAsia="zh-CN"/>
              </w:rPr>
            </w:pPr>
            <w:r>
              <w:rPr>
                <w:rFonts w:hint="eastAsia" w:ascii="Times New Roman" w:hAnsi="Times New Roman" w:eastAsia="仿宋_GB2312" w:cs="Times New Roman"/>
                <w:b w:val="0"/>
                <w:bCs/>
                <w:color w:val="auto"/>
                <w:sz w:val="24"/>
                <w:szCs w:val="24"/>
                <w:lang w:eastAsia="zh-CN"/>
              </w:rPr>
              <w:t>复印件需加盖企业公章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2</w:t>
            </w:r>
          </w:p>
        </w:tc>
        <w:tc>
          <w:tcPr>
            <w:tcW w:w="1718" w:type="dxa"/>
            <w:vAlign w:val="center"/>
          </w:tcPr>
          <w:p>
            <w:pPr>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书面</w:t>
            </w:r>
            <w:r>
              <w:rPr>
                <w:rFonts w:ascii="Times New Roman" w:hAnsi="Times New Roman" w:eastAsia="仿宋_GB2312" w:cs="Times New Roman"/>
                <w:color w:val="auto"/>
                <w:sz w:val="24"/>
                <w:szCs w:val="24"/>
              </w:rPr>
              <w:t>申请</w:t>
            </w:r>
          </w:p>
        </w:tc>
        <w:tc>
          <w:tcPr>
            <w:tcW w:w="1477"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原件</w:t>
            </w:r>
          </w:p>
        </w:tc>
        <w:tc>
          <w:tcPr>
            <w:tcW w:w="1134"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2021" w:type="dxa"/>
            <w:vAlign w:val="top"/>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内容包括但不限于：基本情况、业务开展情况、拟开户银行、使用期限、根据实际需要申请的存放境外资金规模及境内企业集团参与成员公司等</w:t>
            </w:r>
            <w:r>
              <w:rPr>
                <w:rFonts w:hint="eastAsia" w:ascii="Times New Roman" w:hAnsi="Times New Roman" w:eastAsia="仿宋_GB2312" w:cs="Times New Roman"/>
                <w:color w:val="auto"/>
                <w:sz w:val="24"/>
                <w:szCs w:val="24"/>
                <w:lang w:eastAsia="zh-CN"/>
              </w:rPr>
              <w:t>。</w:t>
            </w:r>
          </w:p>
        </w:tc>
        <w:tc>
          <w:tcPr>
            <w:tcW w:w="1200" w:type="dxa"/>
            <w:vAlign w:val="top"/>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书面申请由法定代表人或其授权人签字并加盖企业公章</w:t>
            </w:r>
            <w:r>
              <w:rPr>
                <w:rFonts w:hint="eastAsia" w:ascii="Times New Roman" w:hAnsi="Times New Roman" w:eastAsia="仿宋_GB2312" w:cs="Times New Roman"/>
                <w:color w:val="auto"/>
                <w:sz w:val="24"/>
                <w:szCs w:val="24"/>
                <w:lang w:eastAsia="zh-CN"/>
              </w:rPr>
              <w:t>。</w:t>
            </w:r>
          </w:p>
        </w:tc>
      </w:tr>
    </w:tbl>
    <w:p>
      <w:pPr>
        <w:adjustRightInd w:val="0"/>
        <w:snapToGrid w:val="0"/>
        <w:spacing w:beforeLines="50" w:line="360" w:lineRule="auto"/>
        <w:ind w:firstLine="602" w:firstLineChars="200"/>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2. 分局办理的服务贸易外汇存放境外外汇账户变更</w:t>
      </w:r>
    </w:p>
    <w:tbl>
      <w:tblPr>
        <w:tblStyle w:val="15"/>
        <w:tblW w:w="78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2061"/>
        <w:gridCol w:w="1134"/>
        <w:gridCol w:w="1134"/>
        <w:gridCol w:w="1886"/>
        <w:gridCol w:w="1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序号</w:t>
            </w:r>
          </w:p>
        </w:tc>
        <w:tc>
          <w:tcPr>
            <w:tcW w:w="2061"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提交材料名称</w:t>
            </w:r>
          </w:p>
        </w:tc>
        <w:tc>
          <w:tcPr>
            <w:tcW w:w="1134"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原件/</w:t>
            </w:r>
          </w:p>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复印件</w:t>
            </w:r>
          </w:p>
        </w:tc>
        <w:tc>
          <w:tcPr>
            <w:tcW w:w="1134"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份数</w:t>
            </w:r>
          </w:p>
        </w:tc>
        <w:tc>
          <w:tcPr>
            <w:tcW w:w="1886"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要求</w:t>
            </w:r>
          </w:p>
        </w:tc>
        <w:tc>
          <w:tcPr>
            <w:tcW w:w="1215"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2061" w:type="dxa"/>
            <w:vAlign w:val="center"/>
          </w:tcPr>
          <w:p>
            <w:pPr>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书面申请</w:t>
            </w:r>
          </w:p>
        </w:tc>
        <w:tc>
          <w:tcPr>
            <w:tcW w:w="1134"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原件</w:t>
            </w:r>
          </w:p>
        </w:tc>
        <w:tc>
          <w:tcPr>
            <w:tcW w:w="1134"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1886" w:type="dxa"/>
            <w:vAlign w:val="top"/>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列明变更事项（开户银行、收支范围、使用期限、需提高存放境外资金规模</w:t>
            </w:r>
            <w:r>
              <w:rPr>
                <w:rFonts w:hint="eastAsia" w:ascii="Times New Roman" w:hAnsi="Times New Roman" w:eastAsia="仿宋_GB2312" w:cs="Times New Roman"/>
                <w:color w:val="auto"/>
                <w:sz w:val="24"/>
                <w:szCs w:val="24"/>
                <w:lang w:eastAsia="zh-CN"/>
              </w:rPr>
              <w:t>；对于调整参与成员公司的，需说明新增或减少的成员公司名称、新增成员公司的注册地址、与主办企业的关系、上年度服务贸易收付资金规模以及近两年内有无违反外汇管理规定行为</w:t>
            </w:r>
            <w:r>
              <w:rPr>
                <w:rFonts w:hint="eastAsia" w:ascii="Times New Roman" w:hAnsi="Times New Roman" w:eastAsia="仿宋_GB2312" w:cs="Times New Roman"/>
                <w:color w:val="auto"/>
                <w:sz w:val="24"/>
                <w:szCs w:val="24"/>
              </w:rPr>
              <w:t>）</w:t>
            </w:r>
          </w:p>
        </w:tc>
        <w:tc>
          <w:tcPr>
            <w:tcW w:w="1215" w:type="dxa"/>
            <w:vAlign w:val="top"/>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书面申请由法定代表人或其授权人签字并加盖企业公章</w:t>
            </w:r>
          </w:p>
        </w:tc>
      </w:tr>
    </w:tbl>
    <w:p>
      <w:pPr>
        <w:widowControl w:val="0"/>
        <w:numPr>
          <w:ilvl w:val="0"/>
          <w:numId w:val="0"/>
        </w:numPr>
        <w:wordWrap/>
        <w:adjustRightInd/>
        <w:snapToGrid/>
        <w:spacing w:line="540" w:lineRule="exact"/>
        <w:ind w:firstLine="600" w:firstLineChars="200"/>
        <w:textAlignment w:val="auto"/>
        <w:outlineLvl w:val="2"/>
        <w:rPr>
          <w:rFonts w:hint="eastAsia" w:ascii="楷体_GB2312" w:hAnsi="楷体_GB2312" w:eastAsia="楷体_GB2312" w:cs="楷体_GB2312"/>
          <w:b w:val="0"/>
          <w:bCs w:val="0"/>
          <w:strike w:val="0"/>
          <w:dstrike w:val="0"/>
          <w:color w:val="auto"/>
          <w:sz w:val="30"/>
          <w:szCs w:val="30"/>
          <w:highlight w:val="none"/>
          <w:lang w:val="en-US" w:eastAsia="zh-CN"/>
        </w:rPr>
      </w:pPr>
      <w:bookmarkStart w:id="0" w:name="_Toc1177818417"/>
      <w:r>
        <w:rPr>
          <w:rFonts w:hint="eastAsia" w:ascii="楷体_GB2312" w:hAnsi="楷体_GB2312" w:eastAsia="楷体_GB2312" w:cs="楷体_GB2312"/>
          <w:b w:val="0"/>
          <w:bCs w:val="0"/>
          <w:strike w:val="0"/>
          <w:dstrike w:val="0"/>
          <w:color w:val="auto"/>
          <w:sz w:val="30"/>
          <w:szCs w:val="30"/>
          <w:highlight w:val="none"/>
          <w:lang w:val="en-US" w:eastAsia="zh-CN"/>
        </w:rPr>
        <w:t>（二）规定申请材料的依据</w:t>
      </w:r>
      <w:bookmarkEnd w:id="0"/>
    </w:p>
    <w:p>
      <w:pPr>
        <w:pStyle w:val="2"/>
        <w:ind w:left="0" w:leftChars="0" w:firstLine="560" w:firstLineChars="0"/>
        <w:rPr>
          <w:rFonts w:hint="eastAsia" w:ascii="仿宋_GB2312" w:hAnsi="仿宋_GB2312" w:eastAsia="仿宋_GB2312" w:cs="仿宋_GB2312"/>
          <w:strike w:val="0"/>
          <w:dstrike w:val="0"/>
          <w:color w:val="auto"/>
          <w:sz w:val="30"/>
          <w:szCs w:val="30"/>
          <w:highlight w:val="none"/>
          <w:lang w:val="en-US" w:eastAsia="zh-CN"/>
        </w:rPr>
      </w:pPr>
      <w:r>
        <w:rPr>
          <w:rFonts w:hint="eastAsia" w:ascii="仿宋_GB2312" w:hAnsi="仿宋_GB2312" w:eastAsia="仿宋_GB2312" w:cs="仿宋_GB2312"/>
          <w:b/>
          <w:bCs/>
          <w:strike w:val="0"/>
          <w:dstrike w:val="0"/>
          <w:color w:val="auto"/>
          <w:sz w:val="30"/>
          <w:szCs w:val="30"/>
          <w:highlight w:val="none"/>
          <w:lang w:val="en-US" w:eastAsia="zh-CN"/>
        </w:rPr>
        <w:t>1.分局办理的服务贸易外汇存放境外外汇账户新办</w:t>
      </w:r>
    </w:p>
    <w:p>
      <w:pPr>
        <w:pStyle w:val="2"/>
        <w:ind w:left="0" w:leftChars="0" w:firstLine="560" w:firstLineChars="0"/>
        <w:rPr>
          <w:rFonts w:hint="eastAsia" w:ascii="仿宋_GB2312" w:hAnsi="仿宋_GB2312" w:eastAsia="仿宋_GB2312" w:cs="仿宋_GB2312"/>
          <w:b w:val="0"/>
          <w:bCs w:val="0"/>
          <w:strike w:val="0"/>
          <w:dstrike w:val="0"/>
          <w:color w:val="auto"/>
          <w:sz w:val="30"/>
          <w:szCs w:val="30"/>
          <w:highlight w:val="none"/>
          <w:lang w:val="en-US" w:eastAsia="zh-CN"/>
        </w:rPr>
      </w:pPr>
      <w:r>
        <w:rPr>
          <w:rFonts w:hint="eastAsia" w:ascii="仿宋_GB2312" w:hAnsi="仿宋_GB2312" w:eastAsia="仿宋_GB2312" w:cs="仿宋_GB2312"/>
          <w:b w:val="0"/>
          <w:bCs w:val="0"/>
          <w:strike w:val="0"/>
          <w:dstrike w:val="0"/>
          <w:color w:val="auto"/>
          <w:sz w:val="30"/>
          <w:szCs w:val="30"/>
          <w:highlight w:val="none"/>
          <w:lang w:val="en-US" w:eastAsia="zh-CN"/>
        </w:rPr>
        <w:t>《国家外汇管理局行政许可实施办法》（国家外汇管理局公告2021年第1号）第八条……申请人为机构的，应出示统一社会信用代码证或营业执照原件，或加盖公章的上述证件复印件……。</w:t>
      </w:r>
    </w:p>
    <w:p>
      <w:pPr>
        <w:pStyle w:val="2"/>
        <w:ind w:left="0" w:leftChars="0" w:firstLine="560" w:firstLineChars="0"/>
        <w:rPr>
          <w:rFonts w:hint="eastAsia" w:ascii="仿宋_GB2312" w:hAnsi="仿宋_GB2312" w:eastAsia="仿宋_GB2312" w:cs="仿宋_GB2312"/>
          <w:b w:val="0"/>
          <w:bCs w:val="0"/>
          <w:strike w:val="0"/>
          <w:dstrike w:val="0"/>
          <w:color w:val="auto"/>
          <w:sz w:val="30"/>
          <w:szCs w:val="30"/>
          <w:highlight w:val="none"/>
          <w:lang w:val="en-US" w:eastAsia="zh-CN"/>
        </w:rPr>
      </w:pPr>
      <w:r>
        <w:rPr>
          <w:rFonts w:hint="eastAsia" w:ascii="仿宋_GB2312" w:hAnsi="仿宋_GB2312" w:eastAsia="仿宋_GB2312" w:cs="仿宋_GB2312"/>
          <w:b w:val="0"/>
          <w:bCs w:val="0"/>
          <w:strike w:val="0"/>
          <w:dstrike w:val="0"/>
          <w:color w:val="auto"/>
          <w:sz w:val="30"/>
          <w:szCs w:val="30"/>
          <w:highlight w:val="none"/>
          <w:lang w:val="en-US" w:eastAsia="zh-CN"/>
        </w:rPr>
        <w:t>《经常项目外汇业务指引（2020年版）》（汇发〔2020〕14号文印发）第一百六十三条境内机构开立境外账户，应凭下列材料到所在地外汇局办理境外开户登记：（一）法定代表人或其授权人签字并加盖企业公章的书面申请，申请书内容包括但不限于：基本情况、业务开展情况、拟开户银行、使用期限、根据实际需要申请的存放境外资金规模等</w:t>
      </w:r>
      <w:r>
        <w:rPr>
          <w:rFonts w:hint="eastAsia" w:ascii="仿宋_GB2312" w:hAnsi="仿宋_GB2312" w:eastAsia="仿宋_GB2312" w:cs="仿宋_GB2312"/>
          <w:b w:val="0"/>
          <w:bCs w:val="0"/>
          <w:strike w:val="0"/>
          <w:dstrike w:val="0"/>
          <w:color w:val="auto"/>
          <w:sz w:val="30"/>
          <w:szCs w:val="30"/>
          <w:highlight w:val="none"/>
          <w:lang w:eastAsia="zh-CN"/>
        </w:rPr>
        <w:t>……</w:t>
      </w:r>
      <w:r>
        <w:rPr>
          <w:rFonts w:hint="eastAsia" w:ascii="仿宋_GB2312" w:hAnsi="仿宋_GB2312" w:eastAsia="仿宋_GB2312" w:cs="仿宋_GB2312"/>
          <w:b w:val="0"/>
          <w:bCs w:val="0"/>
          <w:strike w:val="0"/>
          <w:dstrike w:val="0"/>
          <w:color w:val="auto"/>
          <w:sz w:val="30"/>
          <w:szCs w:val="30"/>
          <w:highlight w:val="none"/>
          <w:lang w:val="en-US" w:eastAsia="zh-CN"/>
        </w:rPr>
        <w:t>。</w:t>
      </w:r>
    </w:p>
    <w:p>
      <w:pPr>
        <w:pStyle w:val="2"/>
        <w:ind w:left="0" w:leftChars="0" w:firstLine="560" w:firstLineChars="0"/>
        <w:rPr>
          <w:rFonts w:hint="eastAsia" w:ascii="仿宋_GB2312" w:hAnsi="仿宋_GB2312" w:eastAsia="仿宋_GB2312" w:cs="仿宋_GB2312"/>
          <w:b/>
          <w:bCs/>
          <w:strike w:val="0"/>
          <w:dstrike w:val="0"/>
          <w:color w:val="auto"/>
          <w:sz w:val="30"/>
          <w:szCs w:val="30"/>
          <w:highlight w:val="none"/>
          <w:lang w:eastAsia="zh-CN"/>
        </w:rPr>
      </w:pPr>
      <w:r>
        <w:rPr>
          <w:rFonts w:hint="eastAsia" w:ascii="仿宋_GB2312" w:hAnsi="仿宋_GB2312" w:eastAsia="仿宋_GB2312" w:cs="仿宋_GB2312"/>
          <w:b/>
          <w:bCs/>
          <w:strike w:val="0"/>
          <w:dstrike w:val="0"/>
          <w:color w:val="auto"/>
          <w:sz w:val="30"/>
          <w:szCs w:val="30"/>
          <w:highlight w:val="none"/>
          <w:lang w:val="en-US" w:eastAsia="zh-CN"/>
        </w:rPr>
        <w:t>2.分局办理的服务贸易外汇存放境外外汇账户</w:t>
      </w:r>
      <w:r>
        <w:rPr>
          <w:rFonts w:hint="eastAsia" w:ascii="仿宋_GB2312" w:hAnsi="仿宋_GB2312" w:eastAsia="仿宋_GB2312" w:cs="仿宋_GB2312"/>
          <w:b/>
          <w:bCs/>
          <w:strike w:val="0"/>
          <w:dstrike w:val="0"/>
          <w:color w:val="auto"/>
          <w:sz w:val="30"/>
          <w:szCs w:val="30"/>
          <w:highlight w:val="none"/>
          <w:lang w:eastAsia="zh-CN"/>
        </w:rPr>
        <w:t>变更</w:t>
      </w:r>
    </w:p>
    <w:p>
      <w:pPr>
        <w:pStyle w:val="2"/>
        <w:ind w:left="0" w:leftChars="0" w:firstLine="560" w:firstLineChars="0"/>
        <w:rPr>
          <w:rFonts w:ascii="Times New Roman" w:hAnsi="Times New Roman" w:eastAsia="黑体" w:cs="Times New Roman"/>
          <w:color w:val="auto"/>
          <w:sz w:val="30"/>
          <w:szCs w:val="30"/>
        </w:rPr>
      </w:pPr>
      <w:r>
        <w:rPr>
          <w:rFonts w:hint="eastAsia" w:ascii="仿宋_GB2312" w:hAnsi="仿宋_GB2312" w:eastAsia="仿宋_GB2312" w:cs="仿宋_GB2312"/>
          <w:b w:val="0"/>
          <w:bCs w:val="0"/>
          <w:strike w:val="0"/>
          <w:dstrike w:val="0"/>
          <w:color w:val="auto"/>
          <w:sz w:val="30"/>
          <w:szCs w:val="30"/>
          <w:highlight w:val="none"/>
          <w:lang w:val="en-US" w:eastAsia="zh-CN"/>
        </w:rPr>
        <w:t>《经常项目外汇业务指引（2020年版）》（汇发〔2020〕14号文印发）</w:t>
      </w:r>
      <w:r>
        <w:rPr>
          <w:rFonts w:hint="eastAsia" w:ascii="仿宋_GB2312" w:hAnsi="仿宋_GB2312" w:eastAsia="仿宋_GB2312" w:cs="仿宋_GB2312"/>
          <w:b w:val="0"/>
          <w:bCs w:val="0"/>
          <w:strike w:val="0"/>
          <w:dstrike w:val="0"/>
          <w:color w:val="auto"/>
          <w:spacing w:val="-6"/>
          <w:sz w:val="30"/>
          <w:szCs w:val="30"/>
          <w:highlight w:val="none"/>
          <w:lang w:val="en-US" w:eastAsia="zh-CN"/>
        </w:rPr>
        <w:t>第一百六十三条</w:t>
      </w:r>
      <w:r>
        <w:rPr>
          <w:rFonts w:hint="eastAsia" w:ascii="仿宋_GB2312" w:hAnsi="仿宋_GB2312" w:eastAsia="仿宋_GB2312" w:cs="仿宋_GB2312"/>
          <w:b w:val="0"/>
          <w:bCs w:val="0"/>
          <w:strike w:val="0"/>
          <w:dstrike w:val="0"/>
          <w:color w:val="auto"/>
          <w:spacing w:val="-6"/>
          <w:sz w:val="30"/>
          <w:szCs w:val="30"/>
          <w:highlight w:val="none"/>
          <w:lang w:eastAsia="zh-CN"/>
        </w:rPr>
        <w:t>：……</w:t>
      </w:r>
      <w:r>
        <w:rPr>
          <w:rFonts w:hint="eastAsia" w:ascii="仿宋_GB2312" w:hAnsi="仿宋_GB2312" w:eastAsia="仿宋_GB2312" w:cs="仿宋_GB2312"/>
          <w:b w:val="0"/>
          <w:bCs w:val="0"/>
          <w:strike w:val="0"/>
          <w:dstrike w:val="0"/>
          <w:color w:val="auto"/>
          <w:spacing w:val="-6"/>
          <w:sz w:val="30"/>
          <w:szCs w:val="30"/>
          <w:highlight w:val="none"/>
          <w:lang w:val="en-US" w:eastAsia="zh-CN"/>
        </w:rPr>
        <w:t>企业提高存放境外规模、境内企业集团调整参与成员公司的，应持书面申请书向所在地外汇局申请变更登记。</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w:t>
      </w:r>
      <w:r>
        <w:rPr>
          <w:rFonts w:ascii="Times New Roman" w:hAnsi="Times New Roman" w:eastAsia="黑体" w:cs="Times New Roman"/>
          <w:color w:val="auto"/>
          <w:sz w:val="30"/>
          <w:szCs w:val="30"/>
        </w:rPr>
        <w:t>申请接受</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申请人可通过</w:t>
      </w:r>
      <w:r>
        <w:rPr>
          <w:rFonts w:hint="eastAsia" w:ascii="Times New Roman" w:hAnsi="Times New Roman" w:eastAsia="仿宋_GB2312" w:cs="Times New Roman"/>
          <w:color w:val="auto"/>
          <w:sz w:val="30"/>
          <w:szCs w:val="30"/>
        </w:rPr>
        <w:t>注册所在地国家外汇管理局分局</w:t>
      </w:r>
      <w:r>
        <w:rPr>
          <w:rFonts w:ascii="Times New Roman" w:hAnsi="Times New Roman" w:eastAsia="仿宋_GB2312" w:cs="Times New Roman"/>
          <w:color w:val="auto"/>
          <w:sz w:val="30"/>
          <w:szCs w:val="30"/>
        </w:rPr>
        <w:t>提交</w:t>
      </w:r>
      <w:r>
        <w:rPr>
          <w:rFonts w:hint="eastAsia" w:ascii="Times New Roman" w:hAnsi="Times New Roman" w:eastAsia="仿宋_GB2312" w:cs="Times New Roman"/>
          <w:color w:val="auto"/>
          <w:sz w:val="30"/>
          <w:szCs w:val="30"/>
          <w:lang w:eastAsia="zh-CN"/>
        </w:rPr>
        <w:t>申请</w:t>
      </w:r>
      <w:r>
        <w:rPr>
          <w:rFonts w:ascii="Times New Roman" w:hAnsi="Times New Roman" w:eastAsia="仿宋_GB2312" w:cs="Times New Roman"/>
          <w:color w:val="auto"/>
          <w:sz w:val="30"/>
          <w:szCs w:val="30"/>
        </w:rPr>
        <w:t>。</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十一、</w:t>
      </w:r>
      <w:r>
        <w:rPr>
          <w:rFonts w:ascii="Times New Roman" w:hAnsi="Times New Roman" w:eastAsia="黑体" w:cs="Times New Roman"/>
          <w:color w:val="auto"/>
          <w:sz w:val="30"/>
          <w:szCs w:val="30"/>
        </w:rPr>
        <w:t>基本办理流程</w:t>
      </w:r>
    </w:p>
    <w:p>
      <w:pPr>
        <w:adjustRightInd w:val="0"/>
        <w:snapToGrid w:val="0"/>
        <w:spacing w:line="360" w:lineRule="auto"/>
        <w:ind w:firstLine="600"/>
        <w:jc w:val="left"/>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lang w:eastAsia="zh-CN"/>
        </w:rPr>
        <w:t>（一）</w:t>
      </w:r>
      <w:r>
        <w:rPr>
          <w:rFonts w:hint="eastAsia" w:ascii="楷体_GB2312" w:hAnsi="楷体_GB2312" w:eastAsia="楷体_GB2312" w:cs="楷体_GB2312"/>
          <w:color w:val="auto"/>
          <w:sz w:val="30"/>
          <w:szCs w:val="30"/>
        </w:rPr>
        <w:t>申请人提交申请</w:t>
      </w:r>
      <w:r>
        <w:rPr>
          <w:rFonts w:hint="eastAsia" w:ascii="楷体_GB2312" w:hAnsi="楷体_GB2312" w:eastAsia="楷体_GB2312" w:cs="楷体_GB2312"/>
          <w:color w:val="auto"/>
          <w:sz w:val="30"/>
          <w:szCs w:val="30"/>
          <w:lang w:eastAsia="zh-CN"/>
        </w:rPr>
        <w:t>。</w:t>
      </w:r>
    </w:p>
    <w:p>
      <w:pPr>
        <w:adjustRightInd w:val="0"/>
        <w:snapToGrid w:val="0"/>
        <w:spacing w:line="360" w:lineRule="auto"/>
        <w:ind w:firstLine="600"/>
        <w:jc w:val="left"/>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lang w:eastAsia="zh-CN"/>
        </w:rPr>
        <w:t>（二）</w:t>
      </w:r>
      <w:r>
        <w:rPr>
          <w:rFonts w:hint="eastAsia" w:ascii="楷体_GB2312" w:hAnsi="楷体_GB2312" w:eastAsia="楷体_GB2312" w:cs="楷体_GB2312"/>
          <w:color w:val="auto"/>
          <w:sz w:val="30"/>
          <w:szCs w:val="30"/>
        </w:rPr>
        <w:t>审批机构受理/不予受理</w:t>
      </w:r>
      <w:r>
        <w:rPr>
          <w:rFonts w:hint="eastAsia" w:ascii="楷体_GB2312" w:hAnsi="楷体_GB2312" w:eastAsia="楷体_GB2312" w:cs="楷体_GB2312"/>
          <w:color w:val="auto"/>
          <w:sz w:val="30"/>
          <w:szCs w:val="30"/>
          <w:lang w:eastAsia="zh-CN"/>
        </w:rPr>
        <w:t>。</w:t>
      </w:r>
    </w:p>
    <w:p>
      <w:pPr>
        <w:adjustRightInd w:val="0"/>
        <w:snapToGrid w:val="0"/>
        <w:spacing w:line="360" w:lineRule="auto"/>
        <w:ind w:firstLine="600"/>
        <w:jc w:val="left"/>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申请事项属于本局职责范围，但依法不需要取得行政许可的</w:t>
      </w:r>
      <w:r>
        <w:rPr>
          <w:rFonts w:ascii="Times New Roman" w:hAnsi="Times New Roman" w:eastAsia="仿宋_GB2312" w:cs="Times New Roman"/>
          <w:color w:val="auto"/>
          <w:sz w:val="30"/>
          <w:szCs w:val="30"/>
        </w:rPr>
        <w:t>，</w:t>
      </w:r>
      <w:r>
        <w:rPr>
          <w:rFonts w:hint="eastAsia" w:ascii="Times New Roman" w:hAnsi="Times New Roman" w:eastAsia="仿宋_GB2312" w:cs="Times New Roman"/>
          <w:color w:val="auto"/>
          <w:sz w:val="30"/>
          <w:szCs w:val="30"/>
        </w:rPr>
        <w:t>即时告知不受理</w:t>
      </w:r>
      <w:r>
        <w:rPr>
          <w:rFonts w:hint="eastAsia" w:ascii="Times New Roman" w:hAnsi="Times New Roman" w:eastAsia="仿宋_GB2312" w:cs="Times New Roman"/>
          <w:color w:val="auto"/>
          <w:sz w:val="30"/>
          <w:szCs w:val="30"/>
          <w:lang w:eastAsia="zh-CN"/>
        </w:rPr>
        <w:t>，出具</w:t>
      </w:r>
      <w:r>
        <w:rPr>
          <w:rFonts w:hint="eastAsia" w:ascii="Times New Roman" w:hAnsi="Times New Roman" w:eastAsia="仿宋_GB2312" w:cs="Times New Roman"/>
          <w:color w:val="auto"/>
          <w:sz w:val="30"/>
          <w:szCs w:val="30"/>
        </w:rPr>
        <w:t>不予受理行政许可通知书</w:t>
      </w:r>
      <w:r>
        <w:rPr>
          <w:rFonts w:ascii="Times New Roman" w:hAnsi="Times New Roman" w:eastAsia="仿宋_GB2312" w:cs="Times New Roman"/>
          <w:color w:val="auto"/>
          <w:sz w:val="30"/>
          <w:szCs w:val="30"/>
        </w:rPr>
        <w:t>；</w:t>
      </w:r>
    </w:p>
    <w:p>
      <w:pPr>
        <w:adjustRightInd w:val="0"/>
        <w:snapToGrid w:val="0"/>
        <w:spacing w:line="360" w:lineRule="auto"/>
        <w:ind w:firstLine="600"/>
        <w:jc w:val="left"/>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rPr>
        <w:t>申请事项不属于本局职责范围，即时作出不予受理的决定，出具不予受理行政许可通知书，并告知申请人向有关行政机关申请；</w:t>
      </w:r>
    </w:p>
    <w:p>
      <w:pPr>
        <w:widowControl w:val="0"/>
        <w:wordWrap/>
        <w:adjustRightInd w:val="0"/>
        <w:snapToGrid w:val="0"/>
        <w:spacing w:line="360" w:lineRule="auto"/>
        <w:ind w:left="0" w:leftChars="0" w:right="0" w:firstLine="600" w:firstLineChars="0"/>
        <w:jc w:val="left"/>
        <w:textAlignment w:val="auto"/>
        <w:outlineLvl w:val="9"/>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申请材料不齐全或不符合法定形式的，当场或在收到申请材料之日起5个工作日内作出要求补正材料的决定，出具补正告知书，一次性告知需要补正的全部内容。申请人拒不补正，或者自补正告知书送达之日起30日内未能提交全部且符合法定形式的补正材料的，不予受理，出具不予受理行政许可通知书。</w:t>
      </w:r>
    </w:p>
    <w:p>
      <w:pPr>
        <w:widowControl w:val="0"/>
        <w:wordWrap/>
        <w:adjustRightInd w:val="0"/>
        <w:snapToGrid w:val="0"/>
        <w:spacing w:line="360" w:lineRule="auto"/>
        <w:ind w:left="0" w:leftChars="0" w:right="0" w:firstLine="600" w:firstLineChars="0"/>
        <w:jc w:val="left"/>
        <w:textAlignment w:val="auto"/>
        <w:outlineLvl w:val="9"/>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申请事项属于本局职责范围，申请材料齐全、符合法定形式，或申请人按照要求提交全部补正申请材料的，受理行政许可申请，出具行政许可受理通知书。</w:t>
      </w:r>
    </w:p>
    <w:p>
      <w:pPr>
        <w:widowControl w:val="0"/>
        <w:wordWrap/>
        <w:adjustRightInd w:val="0"/>
        <w:snapToGrid w:val="0"/>
        <w:spacing w:line="360" w:lineRule="auto"/>
        <w:ind w:left="0" w:leftChars="0" w:right="0" w:firstLine="600" w:firstLineChars="0"/>
        <w:jc w:val="left"/>
        <w:textAlignment w:val="auto"/>
        <w:outlineLvl w:val="9"/>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lang w:eastAsia="zh-CN"/>
        </w:rPr>
        <w:t>（三）</w:t>
      </w:r>
      <w:r>
        <w:rPr>
          <w:rFonts w:hint="eastAsia" w:ascii="楷体_GB2312" w:hAnsi="楷体_GB2312" w:eastAsia="楷体_GB2312" w:cs="楷体_GB2312"/>
          <w:color w:val="auto"/>
          <w:sz w:val="30"/>
          <w:szCs w:val="30"/>
        </w:rPr>
        <w:t>审批机构审查</w:t>
      </w:r>
      <w:r>
        <w:rPr>
          <w:rFonts w:hint="eastAsia" w:ascii="楷体_GB2312" w:hAnsi="楷体_GB2312" w:eastAsia="楷体_GB2312" w:cs="楷体_GB2312"/>
          <w:color w:val="auto"/>
          <w:sz w:val="30"/>
          <w:szCs w:val="30"/>
          <w:lang w:eastAsia="zh-CN"/>
        </w:rPr>
        <w:t>。</w:t>
      </w:r>
    </w:p>
    <w:p>
      <w:pPr>
        <w:adjustRightInd w:val="0"/>
        <w:snapToGrid w:val="0"/>
        <w:spacing w:line="360" w:lineRule="auto"/>
        <w:ind w:firstLine="600"/>
        <w:jc w:val="left"/>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lang w:eastAsia="zh-CN"/>
        </w:rPr>
        <w:t>（四）</w:t>
      </w:r>
      <w:r>
        <w:rPr>
          <w:rFonts w:hint="eastAsia" w:ascii="楷体_GB2312" w:hAnsi="楷体_GB2312" w:eastAsia="楷体_GB2312" w:cs="楷体_GB2312"/>
          <w:color w:val="auto"/>
          <w:sz w:val="30"/>
          <w:szCs w:val="30"/>
        </w:rPr>
        <w:t>决定作出许可决定书/不予许可决定书</w:t>
      </w:r>
      <w:r>
        <w:rPr>
          <w:rFonts w:hint="eastAsia" w:ascii="楷体_GB2312" w:hAnsi="楷体_GB2312" w:eastAsia="楷体_GB2312" w:cs="楷体_GB2312"/>
          <w:color w:val="auto"/>
          <w:sz w:val="30"/>
          <w:szCs w:val="30"/>
          <w:lang w:eastAsia="zh-CN"/>
        </w:rPr>
        <w:t>。</w:t>
      </w:r>
    </w:p>
    <w:p>
      <w:pPr>
        <w:widowControl w:val="0"/>
        <w:wordWrap/>
        <w:adjustRightInd w:val="0"/>
        <w:snapToGrid w:val="0"/>
        <w:spacing w:line="360" w:lineRule="auto"/>
        <w:ind w:left="0" w:leftChars="0" w:right="0" w:firstLine="600" w:firstLineChars="200"/>
        <w:jc w:val="left"/>
        <w:textAlignment w:val="auto"/>
        <w:outlineLvl w:val="9"/>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申请符合法定条件、拟准予行政许可的，出具准予行政许可的书面决定</w:t>
      </w:r>
      <w:r>
        <w:rPr>
          <w:rFonts w:ascii="Times New Roman" w:hAnsi="Times New Roman" w:eastAsia="仿宋_GB2312" w:cs="Times New Roman"/>
          <w:color w:val="auto"/>
          <w:sz w:val="30"/>
          <w:szCs w:val="30"/>
        </w:rPr>
        <w:t>；</w:t>
      </w:r>
    </w:p>
    <w:p>
      <w:pPr>
        <w:widowControl w:val="0"/>
        <w:wordWrap/>
        <w:adjustRightInd w:val="0"/>
        <w:snapToGrid w:val="0"/>
        <w:spacing w:line="360" w:lineRule="auto"/>
        <w:ind w:left="0" w:leftChars="0" w:right="0" w:firstLine="600" w:firstLineChars="200"/>
        <w:jc w:val="left"/>
        <w:textAlignment w:val="auto"/>
        <w:outlineLvl w:val="9"/>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申请不符合法定条件、拟不予行政许可的，出具不予行政许可决定书，并说明不予行政许可的理由</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rPr>
        <w:t>申请人享有依法申请行政复议的权利。</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十二、</w:t>
      </w:r>
      <w:r>
        <w:rPr>
          <w:rFonts w:ascii="Times New Roman" w:hAnsi="Times New Roman" w:eastAsia="黑体" w:cs="Times New Roman"/>
          <w:color w:val="auto"/>
          <w:sz w:val="30"/>
          <w:szCs w:val="30"/>
        </w:rPr>
        <w:t>办理方式</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一般程序：申请、受理、审查、决定。</w:t>
      </w:r>
    </w:p>
    <w:p>
      <w:pPr>
        <w:adjustRightInd w:val="0"/>
        <w:snapToGri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当场决定：</w:t>
      </w:r>
      <w:r>
        <w:rPr>
          <w:rFonts w:hint="eastAsia" w:ascii="Times New Roman" w:hAnsi="Times New Roman" w:eastAsia="仿宋_GB2312" w:cs="Times New Roman"/>
          <w:color w:val="auto"/>
          <w:sz w:val="30"/>
          <w:szCs w:val="30"/>
        </w:rPr>
        <w:t>能当场作出决定的，应当场作出行政许可决定。当场作出行政许可决定的，可不出具行政许可受理通知书</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十三、</w:t>
      </w:r>
      <w:r>
        <w:rPr>
          <w:rFonts w:hint="eastAsia" w:ascii="Times New Roman" w:hAnsi="Times New Roman" w:eastAsia="黑体" w:cs="Times New Roman"/>
          <w:color w:val="auto"/>
          <w:sz w:val="30"/>
          <w:szCs w:val="30"/>
        </w:rPr>
        <w:t>受理和审批时限</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（一）</w:t>
      </w:r>
      <w:r>
        <w:rPr>
          <w:rFonts w:hint="eastAsia" w:ascii="Times New Roman" w:hAnsi="Times New Roman" w:eastAsia="仿宋_GB2312" w:cs="Times New Roman"/>
          <w:color w:val="auto"/>
          <w:sz w:val="30"/>
          <w:szCs w:val="30"/>
        </w:rPr>
        <w:t>承诺受理时限：5个工作日</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（二）</w:t>
      </w:r>
      <w:r>
        <w:rPr>
          <w:rFonts w:hint="eastAsia" w:ascii="Times New Roman" w:hAnsi="Times New Roman" w:eastAsia="仿宋_GB2312" w:cs="Times New Roman"/>
          <w:color w:val="auto"/>
          <w:sz w:val="30"/>
          <w:szCs w:val="30"/>
        </w:rPr>
        <w:t>承诺审批时限：20个工作日</w:t>
      </w:r>
    </w:p>
    <w:p>
      <w:pPr>
        <w:adjustRightInd w:val="0"/>
        <w:snapToGrid w:val="0"/>
        <w:spacing w:line="360" w:lineRule="auto"/>
        <w:ind w:firstLine="585"/>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十四、</w:t>
      </w:r>
      <w:r>
        <w:rPr>
          <w:rFonts w:ascii="Times New Roman" w:hAnsi="Times New Roman" w:eastAsia="黑体" w:cs="Times New Roman"/>
          <w:color w:val="auto"/>
          <w:sz w:val="30"/>
          <w:szCs w:val="30"/>
        </w:rPr>
        <w:t>审批收费依据及标准</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（一）</w:t>
      </w:r>
      <w:r>
        <w:rPr>
          <w:rFonts w:hint="eastAsia" w:ascii="Times New Roman" w:hAnsi="Times New Roman" w:eastAsia="仿宋_GB2312" w:cs="Times New Roman"/>
          <w:color w:val="auto"/>
          <w:sz w:val="30"/>
          <w:szCs w:val="30"/>
        </w:rPr>
        <w:t>办理行政许可是否收费：否</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（二）</w:t>
      </w:r>
      <w:r>
        <w:rPr>
          <w:rFonts w:hint="eastAsia" w:ascii="Times New Roman" w:hAnsi="Times New Roman" w:eastAsia="仿宋_GB2312" w:cs="Times New Roman"/>
          <w:color w:val="auto"/>
          <w:sz w:val="30"/>
          <w:szCs w:val="30"/>
        </w:rPr>
        <w:t>收费项目的名称、收费项目的标准、设定收费项目的依据、规定收费标准的依据：无</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十五、</w:t>
      </w:r>
      <w:r>
        <w:rPr>
          <w:rFonts w:ascii="Times New Roman" w:hAnsi="Times New Roman" w:eastAsia="黑体" w:cs="Times New Roman"/>
          <w:color w:val="auto"/>
          <w:sz w:val="30"/>
          <w:szCs w:val="30"/>
        </w:rPr>
        <w:t>审批结果</w:t>
      </w:r>
    </w:p>
    <w:p>
      <w:pPr>
        <w:adjustRightInd w:val="0"/>
        <w:snapToGrid w:val="0"/>
        <w:spacing w:line="360" w:lineRule="auto"/>
        <w:ind w:firstLine="6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（一）</w:t>
      </w:r>
      <w:r>
        <w:rPr>
          <w:rFonts w:hint="eastAsia" w:ascii="Times New Roman" w:hAnsi="Times New Roman" w:eastAsia="仿宋_GB2312" w:cs="Times New Roman"/>
          <w:color w:val="auto"/>
          <w:sz w:val="30"/>
          <w:szCs w:val="30"/>
        </w:rPr>
        <w:t>审批结果类型：批文</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（二）</w:t>
      </w:r>
      <w:r>
        <w:rPr>
          <w:rFonts w:hint="eastAsia" w:ascii="Times New Roman" w:hAnsi="Times New Roman" w:eastAsia="仿宋_GB2312" w:cs="Times New Roman"/>
          <w:color w:val="auto"/>
          <w:sz w:val="30"/>
          <w:szCs w:val="30"/>
        </w:rPr>
        <w:t>审批结果名称：经常项目外汇业务核准件</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（三）</w:t>
      </w:r>
      <w:r>
        <w:rPr>
          <w:rFonts w:hint="eastAsia" w:ascii="Times New Roman" w:hAnsi="Times New Roman" w:eastAsia="仿宋_GB2312" w:cs="Times New Roman"/>
          <w:color w:val="auto"/>
          <w:sz w:val="30"/>
          <w:szCs w:val="30"/>
        </w:rPr>
        <w:t>审批结果的有效期限：无期限</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十六、</w:t>
      </w:r>
      <w:r>
        <w:rPr>
          <w:rFonts w:ascii="Times New Roman" w:hAnsi="Times New Roman" w:eastAsia="黑体" w:cs="Times New Roman"/>
          <w:color w:val="auto"/>
          <w:sz w:val="30"/>
          <w:szCs w:val="30"/>
        </w:rPr>
        <w:t>结果送达</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通过现场告知或电话通知申请人，并通过现场领取或邮寄方式将结果送达。</w:t>
      </w:r>
    </w:p>
    <w:p>
      <w:pPr>
        <w:adjustRightInd w:val="0"/>
        <w:snapToGrid w:val="0"/>
        <w:spacing w:line="360" w:lineRule="auto"/>
        <w:ind w:firstLine="6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十七、</w:t>
      </w:r>
      <w:r>
        <w:rPr>
          <w:rFonts w:ascii="Times New Roman" w:hAnsi="Times New Roman" w:eastAsia="黑体" w:cs="Times New Roman"/>
          <w:color w:val="auto"/>
          <w:sz w:val="30"/>
          <w:szCs w:val="30"/>
        </w:rPr>
        <w:t>申请人权利和义务</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申请人有权依法提出行政审批申请，依法进行投诉、举报、复议、诉讼等。申请人有义务保证申请材料完整、真实、准确，获批后合法合规办理相关业务。</w:t>
      </w:r>
    </w:p>
    <w:p>
      <w:pPr>
        <w:adjustRightInd w:val="0"/>
        <w:snapToGrid w:val="0"/>
        <w:spacing w:line="360" w:lineRule="auto"/>
        <w:ind w:firstLine="600"/>
        <w:rPr>
          <w:rFonts w:ascii="Times New Roman" w:hAnsi="Times New Roman" w:eastAsia="仿宋_GB2312" w:cs="Times New Roman"/>
          <w:color w:val="auto"/>
          <w:sz w:val="30"/>
          <w:szCs w:val="30"/>
        </w:rPr>
      </w:pPr>
      <w:r>
        <w:rPr>
          <w:rFonts w:hint="eastAsia" w:ascii="Times New Roman" w:hAnsi="Times New Roman" w:eastAsia="黑体" w:cs="Times New Roman"/>
          <w:color w:val="auto"/>
          <w:sz w:val="30"/>
          <w:szCs w:val="30"/>
          <w:lang w:eastAsia="zh-CN"/>
        </w:rPr>
        <w:t>十八、</w:t>
      </w:r>
      <w:r>
        <w:rPr>
          <w:rFonts w:ascii="Times New Roman" w:hAnsi="Times New Roman" w:eastAsia="黑体" w:cs="Times New Roman"/>
          <w:color w:val="auto"/>
          <w:sz w:val="30"/>
          <w:szCs w:val="30"/>
        </w:rPr>
        <w:t>咨询途径、监督和投诉、公开查询等由所在地</w:t>
      </w:r>
      <w:r>
        <w:rPr>
          <w:rFonts w:hint="eastAsia" w:ascii="Times New Roman" w:hAnsi="Times New Roman" w:eastAsia="黑体" w:cs="Times New Roman"/>
          <w:color w:val="auto"/>
          <w:sz w:val="30"/>
          <w:szCs w:val="30"/>
        </w:rPr>
        <w:t>分局</w:t>
      </w:r>
      <w:bookmarkStart w:id="1" w:name="_GoBack"/>
      <w:bookmarkEnd w:id="1"/>
      <w:r>
        <w:rPr>
          <w:rFonts w:ascii="Times New Roman" w:hAnsi="Times New Roman" w:eastAsia="黑体" w:cs="Times New Roman"/>
          <w:color w:val="auto"/>
          <w:sz w:val="30"/>
          <w:szCs w:val="30"/>
        </w:rPr>
        <w:t>办理</w:t>
      </w:r>
    </w:p>
    <w:p>
      <w:pPr>
        <w:adjustRightInd w:val="0"/>
        <w:snapToGrid w:val="0"/>
        <w:spacing w:line="360" w:lineRule="auto"/>
        <w:ind w:firstLine="601"/>
        <w:rPr>
          <w:rFonts w:hint="eastAsia" w:ascii="楷体_GB2312" w:hAnsi="楷体_GB2312" w:eastAsia="楷体_GB2312" w:cs="楷体_GB2312"/>
          <w:b w:val="0"/>
          <w:bCs w:val="0"/>
          <w:color w:val="auto"/>
          <w:sz w:val="30"/>
          <w:szCs w:val="30"/>
          <w:lang w:val="en-US" w:eastAsia="zh-CN"/>
        </w:rPr>
      </w:pPr>
      <w:r>
        <w:rPr>
          <w:rFonts w:hint="eastAsia" w:ascii="楷体_GB2312" w:hAnsi="楷体_GB2312" w:eastAsia="楷体_GB2312" w:cs="楷体_GB2312"/>
          <w:b w:val="0"/>
          <w:bCs w:val="0"/>
          <w:color w:val="auto"/>
          <w:sz w:val="30"/>
          <w:szCs w:val="30"/>
          <w:lang w:val="en-US" w:eastAsia="zh-CN"/>
        </w:rPr>
        <w:t>（一）咨询途径</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现场咨询：广西南宁市青秀区滨湖路58号中国人民银行广西壮族自治区分行七楼704室。</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电话咨询：0771-6111312</w:t>
      </w:r>
    </w:p>
    <w:p>
      <w:pPr>
        <w:adjustRightInd w:val="0"/>
        <w:snapToGrid w:val="0"/>
        <w:spacing w:line="360" w:lineRule="auto"/>
        <w:ind w:firstLine="601"/>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网站咨询：</w:t>
      </w:r>
      <w:r>
        <w:rPr>
          <w:rFonts w:hint="eastAsia" w:ascii="Times New Roman" w:hAnsi="Times New Roman" w:eastAsia="仿宋_GB2312" w:cs="Times New Roman"/>
          <w:color w:val="auto"/>
          <w:sz w:val="30"/>
          <w:szCs w:val="30"/>
          <w:lang w:eastAsia="zh-CN"/>
        </w:rPr>
        <w:t>国家外汇管理局广西壮族自治区分局官方网站（www.safe.gov.cn</w:t>
      </w:r>
      <w:r>
        <w:rPr>
          <w:rFonts w:hint="eastAsia" w:ascii="Times New Roman" w:hAnsi="Times New Roman" w:eastAsia="仿宋_GB2312" w:cs="Times New Roman"/>
          <w:color w:val="auto"/>
          <w:sz w:val="30"/>
          <w:szCs w:val="30"/>
          <w:lang w:val="en-US" w:eastAsia="zh-CN"/>
        </w:rPr>
        <w:t>/guangxi/）</w:t>
      </w:r>
      <w:r>
        <w:rPr>
          <w:rFonts w:hint="eastAsia" w:ascii="Times New Roman" w:hAnsi="Times New Roman" w:eastAsia="仿宋_GB2312" w:cs="Times New Roman"/>
          <w:color w:val="auto"/>
          <w:sz w:val="30"/>
          <w:szCs w:val="30"/>
          <w:lang w:eastAsia="zh-CN"/>
        </w:rPr>
        <w:t>咨询反馈栏目。</w:t>
      </w:r>
    </w:p>
    <w:p>
      <w:pPr>
        <w:adjustRightInd w:val="0"/>
        <w:snapToGrid w:val="0"/>
        <w:spacing w:line="360" w:lineRule="auto"/>
        <w:ind w:firstLine="601"/>
        <w:rPr>
          <w:rFonts w:hint="eastAsia" w:ascii="楷体_GB2312" w:hAnsi="楷体_GB2312" w:eastAsia="楷体_GB2312" w:cs="楷体_GB2312"/>
          <w:b w:val="0"/>
          <w:bCs w:val="0"/>
          <w:color w:val="auto"/>
          <w:sz w:val="30"/>
          <w:szCs w:val="30"/>
          <w:lang w:val="en-US" w:eastAsia="zh-CN"/>
        </w:rPr>
      </w:pPr>
      <w:r>
        <w:rPr>
          <w:rFonts w:hint="eastAsia" w:ascii="楷体_GB2312" w:hAnsi="楷体_GB2312" w:eastAsia="楷体_GB2312" w:cs="楷体_GB2312"/>
          <w:b w:val="0"/>
          <w:bCs w:val="0"/>
          <w:color w:val="auto"/>
          <w:sz w:val="30"/>
          <w:szCs w:val="30"/>
          <w:lang w:val="en-US" w:eastAsia="zh-CN"/>
        </w:rPr>
        <w:t>（二）监督和投诉途径</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电话投诉：0771-6111357</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电子邮箱投诉：gxwgwg@163.com</w:t>
      </w:r>
    </w:p>
    <w:p>
      <w:pPr>
        <w:adjustRightInd w:val="0"/>
        <w:snapToGrid w:val="0"/>
        <w:spacing w:line="360" w:lineRule="auto"/>
        <w:ind w:firstLine="601"/>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网站投诉：</w:t>
      </w:r>
      <w:r>
        <w:rPr>
          <w:rFonts w:hint="eastAsia" w:ascii="Times New Roman" w:hAnsi="Times New Roman" w:eastAsia="仿宋_GB2312" w:cs="Times New Roman"/>
          <w:color w:val="auto"/>
          <w:sz w:val="30"/>
          <w:szCs w:val="30"/>
          <w:lang w:eastAsia="zh-CN"/>
        </w:rPr>
        <w:t>国家外汇管理局广西壮族自治区分局官方网站（www.safe.gov.cn</w:t>
      </w:r>
      <w:r>
        <w:rPr>
          <w:rFonts w:hint="eastAsia" w:ascii="Times New Roman" w:hAnsi="Times New Roman" w:eastAsia="仿宋_GB2312" w:cs="Times New Roman"/>
          <w:color w:val="auto"/>
          <w:sz w:val="30"/>
          <w:szCs w:val="30"/>
          <w:lang w:val="en-US" w:eastAsia="zh-CN"/>
        </w:rPr>
        <w:t>/guangxi/）</w:t>
      </w:r>
      <w:r>
        <w:rPr>
          <w:rFonts w:hint="eastAsia" w:ascii="Times New Roman" w:hAnsi="Times New Roman" w:eastAsia="仿宋_GB2312" w:cs="Times New Roman"/>
          <w:color w:val="auto"/>
          <w:sz w:val="30"/>
          <w:szCs w:val="30"/>
          <w:lang w:eastAsia="zh-CN"/>
        </w:rPr>
        <w:t>咨询反馈栏目。</w:t>
      </w:r>
    </w:p>
    <w:p>
      <w:pPr>
        <w:adjustRightInd w:val="0"/>
        <w:snapToGrid w:val="0"/>
        <w:spacing w:line="360" w:lineRule="auto"/>
        <w:ind w:firstLine="601"/>
        <w:rPr>
          <w:rFonts w:hint="eastAsia" w:ascii="Times New Roman" w:hAnsi="Times New Roman" w:eastAsia="仿宋_GB2312" w:cs="Times New Roman"/>
          <w:b/>
          <w:bCs/>
          <w:color w:val="auto"/>
          <w:sz w:val="30"/>
          <w:szCs w:val="30"/>
          <w:lang w:val="en-US" w:eastAsia="zh-CN"/>
        </w:rPr>
      </w:pPr>
      <w:r>
        <w:rPr>
          <w:rFonts w:hint="eastAsia" w:ascii="Times New Roman" w:hAnsi="Times New Roman" w:eastAsia="仿宋_GB2312" w:cs="Times New Roman"/>
          <w:b/>
          <w:bCs/>
          <w:color w:val="auto"/>
          <w:sz w:val="30"/>
          <w:szCs w:val="30"/>
          <w:lang w:val="en-US" w:eastAsia="zh-CN"/>
        </w:rPr>
        <w:t>（三）</w:t>
      </w:r>
      <w:r>
        <w:rPr>
          <w:rFonts w:hint="eastAsia" w:ascii="Times New Roman" w:hAnsi="Times New Roman" w:eastAsia="仿宋_GB2312" w:cs="Times New Roman"/>
          <w:b/>
          <w:bCs/>
          <w:color w:val="auto"/>
          <w:sz w:val="30"/>
          <w:szCs w:val="30"/>
          <w:lang w:eastAsia="zh-CN"/>
        </w:rPr>
        <w:t>公开</w:t>
      </w:r>
      <w:r>
        <w:rPr>
          <w:rFonts w:hint="eastAsia" w:ascii="Times New Roman" w:hAnsi="Times New Roman" w:eastAsia="仿宋_GB2312" w:cs="Times New Roman"/>
          <w:b/>
          <w:bCs/>
          <w:color w:val="auto"/>
          <w:sz w:val="30"/>
          <w:szCs w:val="30"/>
        </w:rPr>
        <w:t>查询</w:t>
      </w:r>
      <w:r>
        <w:rPr>
          <w:rFonts w:hint="eastAsia" w:ascii="Times New Roman" w:hAnsi="Times New Roman" w:eastAsia="仿宋_GB2312" w:cs="Times New Roman"/>
          <w:b/>
          <w:bCs/>
          <w:color w:val="auto"/>
          <w:sz w:val="30"/>
          <w:szCs w:val="30"/>
          <w:lang w:eastAsia="zh-CN"/>
        </w:rPr>
        <w:t>途径</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现场查询：广西南宁市青秀区滨湖路58号中国人民银行广西壮族自治区分行七楼704室。</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电话查询：0771-6111312</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十九、</w:t>
      </w:r>
      <w:r>
        <w:rPr>
          <w:rFonts w:ascii="Times New Roman" w:hAnsi="Times New Roman" w:eastAsia="黑体" w:cs="Times New Roman"/>
          <w:color w:val="auto"/>
          <w:sz w:val="30"/>
          <w:szCs w:val="30"/>
        </w:rPr>
        <w:t>事项审查类型</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前审后批。</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二十、</w:t>
      </w:r>
      <w:r>
        <w:rPr>
          <w:rFonts w:ascii="Times New Roman" w:hAnsi="Times New Roman" w:eastAsia="黑体" w:cs="Times New Roman"/>
          <w:color w:val="auto"/>
          <w:sz w:val="30"/>
          <w:szCs w:val="30"/>
        </w:rPr>
        <w:t>办公地址和时间</w:t>
      </w:r>
    </w:p>
    <w:p>
      <w:pPr>
        <w:adjustRightInd w:val="0"/>
        <w:snapToGrid w:val="0"/>
        <w:spacing w:line="360" w:lineRule="auto"/>
        <w:rPr>
          <w:rFonts w:hint="eastAsia" w:ascii="仿宋_GB2312" w:hAnsi="Times New Roman" w:eastAsia="仿宋_GB2312"/>
          <w:color w:val="auto"/>
          <w:sz w:val="30"/>
          <w:szCs w:val="30"/>
        </w:rPr>
      </w:pPr>
      <w:r>
        <w:rPr>
          <w:rFonts w:hint="eastAsia" w:ascii="仿宋_GB2312" w:hAnsi="Times New Roman" w:eastAsia="仿宋_GB2312"/>
          <w:color w:val="auto"/>
          <w:sz w:val="30"/>
          <w:szCs w:val="30"/>
          <w:lang w:val="en-US" w:eastAsia="zh-CN"/>
        </w:rPr>
        <w:t xml:space="preserve">    办公</w:t>
      </w:r>
      <w:r>
        <w:rPr>
          <w:rFonts w:hint="eastAsia" w:ascii="仿宋_GB2312" w:hAnsi="Times New Roman" w:eastAsia="仿宋_GB2312"/>
          <w:color w:val="auto"/>
          <w:sz w:val="30"/>
          <w:szCs w:val="30"/>
        </w:rPr>
        <w:t>地址：广西南宁市青秀区滨湖路58号中国人民银行广西壮族自治区分行</w:t>
      </w:r>
      <w:r>
        <w:rPr>
          <w:rFonts w:hint="eastAsia" w:ascii="仿宋_GB2312" w:hAnsi="Times New Roman" w:eastAsia="仿宋_GB2312"/>
          <w:color w:val="auto"/>
          <w:sz w:val="30"/>
          <w:szCs w:val="30"/>
          <w:lang w:eastAsia="zh-CN"/>
        </w:rPr>
        <w:t>七楼704室</w:t>
      </w:r>
      <w:r>
        <w:rPr>
          <w:rFonts w:hint="eastAsia" w:ascii="仿宋_GB2312" w:hAnsi="Times New Roman" w:eastAsia="仿宋_GB2312"/>
          <w:color w:val="auto"/>
          <w:sz w:val="30"/>
          <w:szCs w:val="30"/>
        </w:rPr>
        <w:t>。</w:t>
      </w:r>
    </w:p>
    <w:p>
      <w:pPr>
        <w:adjustRightInd w:val="0"/>
        <w:snapToGrid w:val="0"/>
        <w:spacing w:line="360" w:lineRule="auto"/>
        <w:ind w:firstLine="600" w:firstLineChars="200"/>
        <w:rPr>
          <w:rFonts w:hint="eastAsia" w:ascii="仿宋_GB2312" w:hAnsi="Times New Roman" w:eastAsia="仿宋_GB2312"/>
          <w:color w:val="auto"/>
          <w:sz w:val="30"/>
          <w:szCs w:val="30"/>
        </w:rPr>
      </w:pPr>
      <w:r>
        <w:rPr>
          <w:rFonts w:hint="eastAsia" w:ascii="仿宋_GB2312" w:hAnsi="Times New Roman" w:eastAsia="仿宋_GB2312"/>
          <w:color w:val="auto"/>
          <w:sz w:val="30"/>
          <w:szCs w:val="30"/>
          <w:lang w:eastAsia="zh-CN"/>
        </w:rPr>
        <w:t>办公</w:t>
      </w:r>
      <w:r>
        <w:rPr>
          <w:rFonts w:hint="eastAsia" w:ascii="仿宋_GB2312" w:hAnsi="Times New Roman" w:eastAsia="仿宋_GB2312"/>
          <w:color w:val="auto"/>
          <w:sz w:val="30"/>
          <w:szCs w:val="30"/>
        </w:rPr>
        <w:t xml:space="preserve">时间：工作日，上午：08:30-12:00，下午：14:30-17:30。 </w:t>
      </w:r>
    </w:p>
    <w:p>
      <w:pPr>
        <w:adjustRightInd w:val="0"/>
        <w:snapToGrid w:val="0"/>
        <w:spacing w:line="360" w:lineRule="auto"/>
        <w:ind w:firstLine="600"/>
        <w:rPr>
          <w:rFonts w:hint="eastAsia"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二十一、</w:t>
      </w:r>
      <w:r>
        <w:rPr>
          <w:rFonts w:ascii="Times New Roman" w:hAnsi="Times New Roman" w:eastAsia="黑体" w:cs="Times New Roman"/>
          <w:color w:val="auto"/>
          <w:sz w:val="30"/>
          <w:szCs w:val="30"/>
        </w:rPr>
        <w:t>申请材料示范文本</w:t>
      </w:r>
    </w:p>
    <w:p>
      <w:pPr>
        <w:adjustRightInd w:val="0"/>
        <w:snapToGrid w:val="0"/>
        <w:spacing w:line="360" w:lineRule="auto"/>
        <w:ind w:firstLine="600"/>
        <w:rPr>
          <w:rFonts w:ascii="Times New Roman" w:hAnsi="Times New Roman" w:eastAsia="黑体" w:cs="Times New Roman"/>
          <w:color w:val="auto"/>
          <w:sz w:val="30"/>
          <w:szCs w:val="30"/>
        </w:rPr>
      </w:pPr>
    </w:p>
    <w:p>
      <w:pPr>
        <w:adjustRightInd w:val="0"/>
        <w:snapToGrid w:val="0"/>
        <w:spacing w:line="360" w:lineRule="auto"/>
        <w:jc w:val="center"/>
        <w:outlineLvl w:val="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关于开立服务贸易外汇收入存放境外外汇账户的申请</w:t>
      </w:r>
    </w:p>
    <w:p>
      <w:pPr>
        <w:adjustRightInd w:val="0"/>
        <w:snapToGrid w:val="0"/>
        <w:spacing w:line="360" w:lineRule="auto"/>
        <w:jc w:val="center"/>
        <w:rPr>
          <w:rFonts w:ascii="Times New Roman" w:hAnsi="Times New Roman" w:eastAsia="黑体" w:cs="Times New Roman"/>
          <w:color w:val="auto"/>
          <w:sz w:val="30"/>
          <w:szCs w:val="30"/>
        </w:rPr>
      </w:pPr>
    </w:p>
    <w:p>
      <w:pPr>
        <w:adjustRightInd w:val="0"/>
        <w:snapToGrid w:val="0"/>
        <w:spacing w:line="360" w:lineRule="auto"/>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国家外汇管理局XX分局：</w:t>
      </w:r>
    </w:p>
    <w:p>
      <w:pPr>
        <w:adjustRightInd w:val="0"/>
        <w:snapToGrid w:val="0"/>
        <w:spacing w:line="360" w:lineRule="auto"/>
        <w:ind w:firstLine="600" w:firstLineChars="2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我公司成立于XXXX年，注册资金XX万元，注册地址XX（公司基本情况介绍）。</w:t>
      </w:r>
      <w:r>
        <w:rPr>
          <w:rFonts w:hint="eastAsia" w:ascii="Times New Roman" w:hAnsi="Times New Roman" w:eastAsia="仿宋_GB2312" w:cs="Times New Roman"/>
          <w:color w:val="auto"/>
          <w:sz w:val="30"/>
          <w:szCs w:val="30"/>
        </w:rPr>
        <w:t>XXXX年，我公司服务贸易外汇收入和支出金额分别为……，同比分别增长（下降）……。</w:t>
      </w:r>
      <w:r>
        <w:rPr>
          <w:rFonts w:ascii="Times New Roman" w:hAnsi="Times New Roman" w:eastAsia="仿宋_GB2312" w:cs="Times New Roman"/>
          <w:color w:val="auto"/>
          <w:sz w:val="30"/>
          <w:szCs w:val="30"/>
        </w:rPr>
        <w:t>因XX业务需要，</w:t>
      </w:r>
      <w:r>
        <w:rPr>
          <w:rFonts w:hint="eastAsia" w:ascii="Times New Roman" w:hAnsi="Times New Roman" w:eastAsia="仿宋_GB2312" w:cs="Times New Roman"/>
          <w:color w:val="auto"/>
          <w:sz w:val="30"/>
          <w:szCs w:val="30"/>
        </w:rPr>
        <w:t>申请</w:t>
      </w:r>
      <w:r>
        <w:rPr>
          <w:rFonts w:ascii="Times New Roman" w:hAnsi="Times New Roman" w:eastAsia="仿宋_GB2312" w:cs="Times New Roman"/>
          <w:color w:val="auto"/>
          <w:sz w:val="30"/>
          <w:szCs w:val="30"/>
        </w:rPr>
        <w:t>在X国开立</w:t>
      </w:r>
      <w:r>
        <w:rPr>
          <w:rFonts w:hint="eastAsia" w:ascii="Times New Roman" w:hAnsi="Times New Roman" w:eastAsia="仿宋_GB2312" w:cs="Times New Roman"/>
          <w:color w:val="auto"/>
          <w:sz w:val="30"/>
          <w:szCs w:val="30"/>
        </w:rPr>
        <w:t>服务贸易外汇收入</w:t>
      </w:r>
      <w:r>
        <w:rPr>
          <w:rFonts w:ascii="Times New Roman" w:hAnsi="Times New Roman" w:eastAsia="仿宋_GB2312" w:cs="Times New Roman"/>
          <w:color w:val="auto"/>
          <w:sz w:val="30"/>
          <w:szCs w:val="30"/>
        </w:rPr>
        <w:t>存放境外</w:t>
      </w:r>
      <w:r>
        <w:rPr>
          <w:rFonts w:hint="eastAsia" w:ascii="Times New Roman" w:hAnsi="Times New Roman" w:eastAsia="仿宋_GB2312" w:cs="Times New Roman"/>
          <w:color w:val="auto"/>
          <w:sz w:val="30"/>
          <w:szCs w:val="30"/>
        </w:rPr>
        <w:t>外汇</w:t>
      </w:r>
      <w:r>
        <w:rPr>
          <w:rFonts w:ascii="Times New Roman" w:hAnsi="Times New Roman" w:eastAsia="仿宋_GB2312" w:cs="Times New Roman"/>
          <w:color w:val="auto"/>
          <w:sz w:val="30"/>
          <w:szCs w:val="30"/>
        </w:rPr>
        <w:t>账户，</w:t>
      </w:r>
      <w:r>
        <w:rPr>
          <w:rFonts w:hint="eastAsia" w:ascii="Times New Roman" w:hAnsi="Times New Roman" w:eastAsia="仿宋_GB2312" w:cs="Times New Roman"/>
          <w:color w:val="auto"/>
          <w:sz w:val="30"/>
          <w:szCs w:val="30"/>
        </w:rPr>
        <w:t>详细信息如下：</w:t>
      </w:r>
    </w:p>
    <w:p>
      <w:pPr>
        <w:adjustRightInd w:val="0"/>
        <w:snapToGrid w:val="0"/>
        <w:spacing w:line="360" w:lineRule="auto"/>
        <w:ind w:firstLine="600" w:firstLineChars="200"/>
        <w:jc w:val="left"/>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适用币种：</w:t>
      </w:r>
    </w:p>
    <w:p>
      <w:pPr>
        <w:adjustRightInd w:val="0"/>
        <w:snapToGrid w:val="0"/>
        <w:spacing w:line="360" w:lineRule="auto"/>
        <w:ind w:firstLine="600" w:firstLineChars="200"/>
        <w:jc w:val="left"/>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开户银行：</w:t>
      </w:r>
    </w:p>
    <w:p>
      <w:pPr>
        <w:adjustRightInd w:val="0"/>
        <w:snapToGrid w:val="0"/>
        <w:spacing w:line="360" w:lineRule="auto"/>
        <w:ind w:firstLine="600" w:firstLineChars="200"/>
        <w:jc w:val="left"/>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账户使用期限：</w:t>
      </w:r>
    </w:p>
    <w:p>
      <w:pPr>
        <w:adjustRightInd w:val="0"/>
        <w:snapToGrid w:val="0"/>
        <w:spacing w:line="360" w:lineRule="auto"/>
        <w:ind w:firstLine="600" w:firstLineChars="200"/>
        <w:jc w:val="left"/>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存放境外资金规模：</w:t>
      </w:r>
    </w:p>
    <w:p>
      <w:pPr>
        <w:adjustRightInd w:val="0"/>
        <w:snapToGrid w:val="0"/>
        <w:spacing w:line="360" w:lineRule="auto"/>
        <w:ind w:firstLine="600" w:firstLineChars="200"/>
        <w:jc w:val="left"/>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账户收支范围：</w:t>
      </w:r>
    </w:p>
    <w:p>
      <w:pPr>
        <w:adjustRightInd w:val="0"/>
        <w:snapToGrid w:val="0"/>
        <w:spacing w:line="360" w:lineRule="auto"/>
        <w:ind w:firstLine="600" w:firstLineChars="200"/>
        <w:jc w:val="left"/>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（开立账户后，存放境外内部管理制度介绍）。</w:t>
      </w:r>
    </w:p>
    <w:p>
      <w:pPr>
        <w:adjustRightInd w:val="0"/>
        <w:snapToGrid w:val="0"/>
        <w:spacing w:line="360" w:lineRule="auto"/>
        <w:ind w:firstLine="600" w:firstLineChars="2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特此申请。</w:t>
      </w:r>
    </w:p>
    <w:p>
      <w:pPr>
        <w:wordWrap w:val="0"/>
        <w:adjustRightInd w:val="0"/>
        <w:snapToGrid w:val="0"/>
        <w:spacing w:line="360" w:lineRule="auto"/>
        <w:ind w:right="300" w:firstLine="600" w:firstLineChars="200"/>
        <w:jc w:val="right"/>
        <w:outlineLvl w:val="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 xml:space="preserve">  </w:t>
      </w:r>
      <w:r>
        <w:rPr>
          <w:rFonts w:ascii="Times New Roman" w:hAnsi="Times New Roman" w:eastAsia="仿宋_GB2312" w:cs="Times New Roman"/>
          <w:color w:val="auto"/>
          <w:sz w:val="30"/>
          <w:szCs w:val="30"/>
        </w:rPr>
        <w:t>XX公司</w:t>
      </w:r>
    </w:p>
    <w:p>
      <w:pPr>
        <w:adjustRightInd w:val="0"/>
        <w:snapToGrid w:val="0"/>
        <w:spacing w:line="360" w:lineRule="auto"/>
        <w:ind w:firstLine="600" w:firstLineChars="200"/>
        <w:jc w:val="right"/>
        <w:rPr>
          <w:rFonts w:ascii="Times New Roman" w:hAnsi="Times New Roman" w:eastAsia="仿宋_GB2312" w:cs="Times New Roman"/>
          <w:color w:val="auto"/>
          <w:sz w:val="30"/>
          <w:szCs w:val="30"/>
        </w:rPr>
        <w:sectPr>
          <w:headerReference r:id="rId3" w:type="first"/>
          <w:footerReference r:id="rId5" w:type="first"/>
          <w:footerReference r:id="rId4" w:type="default"/>
          <w:pgSz w:w="11906" w:h="16838"/>
          <w:pgMar w:top="1440" w:right="1800" w:bottom="1440" w:left="1800" w:header="851" w:footer="992" w:gutter="0"/>
          <w:cols w:space="720" w:num="1"/>
          <w:titlePg/>
          <w:docGrid w:type="lines" w:linePitch="312" w:charSpace="0"/>
        </w:sectPr>
      </w:pPr>
      <w:r>
        <w:rPr>
          <w:rFonts w:ascii="Times New Roman" w:hAnsi="Times New Roman" w:eastAsia="仿宋_GB2312" w:cs="Times New Roman"/>
          <w:color w:val="auto"/>
          <w:sz w:val="30"/>
          <w:szCs w:val="30"/>
        </w:rPr>
        <w:t>XXXX年X月X日</w:t>
      </w:r>
    </w:p>
    <w:p>
      <w:pPr>
        <w:adjustRightInd w:val="0"/>
        <w:snapToGrid w:val="0"/>
        <w:spacing w:line="360" w:lineRule="auto"/>
        <w:ind w:firstLine="600" w:firstLineChars="200"/>
        <w:outlineLvl w:val="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二十二、</w:t>
      </w:r>
      <w:r>
        <w:rPr>
          <w:rFonts w:ascii="Times New Roman" w:hAnsi="Times New Roman" w:eastAsia="黑体" w:cs="Times New Roman"/>
          <w:color w:val="auto"/>
          <w:sz w:val="30"/>
          <w:szCs w:val="30"/>
        </w:rPr>
        <w:t>常见问题解答</w:t>
      </w:r>
    </w:p>
    <w:p>
      <w:pPr>
        <w:adjustRightInd w:val="0"/>
        <w:snapToGrid w:val="0"/>
        <w:spacing w:line="360" w:lineRule="auto"/>
        <w:ind w:firstLine="600" w:firstLineChars="200"/>
        <w:rPr>
          <w:rFonts w:hint="eastAsia" w:ascii="楷体_GB2312" w:hAnsi="楷体_GB2312" w:eastAsia="楷体_GB2312" w:cs="楷体_GB2312"/>
          <w:color w:val="auto"/>
          <w:sz w:val="30"/>
          <w:szCs w:val="30"/>
        </w:rPr>
      </w:pPr>
      <w:r>
        <w:rPr>
          <w:rFonts w:ascii="Times New Roman" w:hAnsi="Times New Roman" w:eastAsia="仿宋_GB2312" w:cs="Times New Roman"/>
          <w:color w:val="auto"/>
          <w:sz w:val="30"/>
          <w:szCs w:val="30"/>
        </w:rPr>
        <w:t xml:space="preserve"> </w:t>
      </w:r>
      <w:r>
        <w:rPr>
          <w:rFonts w:hint="eastAsia" w:ascii="楷体_GB2312" w:hAnsi="楷体_GB2312" w:eastAsia="楷体_GB2312" w:cs="楷体_GB2312"/>
          <w:color w:val="auto"/>
          <w:sz w:val="30"/>
          <w:szCs w:val="30"/>
          <w:lang w:eastAsia="zh-CN"/>
        </w:rPr>
        <w:t>（一）</w:t>
      </w:r>
      <w:r>
        <w:rPr>
          <w:rFonts w:hint="eastAsia" w:ascii="楷体_GB2312" w:hAnsi="楷体_GB2312" w:eastAsia="楷体_GB2312" w:cs="楷体_GB2312"/>
          <w:color w:val="auto"/>
          <w:sz w:val="30"/>
          <w:szCs w:val="30"/>
        </w:rPr>
        <w:t>申请存放境外需要具备哪些条件？</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rPr>
        <w:t>服务贸易外汇收入来源真实合法，且在境外有符合相关规定的支付需求</w:t>
      </w:r>
      <w:r>
        <w:rPr>
          <w:rFonts w:ascii="Times New Roman" w:hAnsi="Times New Roman" w:eastAsia="仿宋_GB2312" w:cs="Times New Roman"/>
          <w:color w:val="auto"/>
          <w:sz w:val="30"/>
          <w:szCs w:val="30"/>
        </w:rPr>
        <w:t xml:space="preserve">； </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2.</w:t>
      </w:r>
      <w:r>
        <w:rPr>
          <w:rFonts w:ascii="Times New Roman" w:hAnsi="Times New Roman" w:eastAsia="仿宋_GB2312" w:cs="Times New Roman"/>
          <w:color w:val="auto"/>
          <w:sz w:val="30"/>
          <w:szCs w:val="30"/>
        </w:rPr>
        <w:t>近两年无违反外汇管理规定行为</w:t>
      </w:r>
      <w:r>
        <w:rPr>
          <w:rFonts w:hint="eastAsia" w:ascii="Times New Roman" w:hAnsi="Times New Roman" w:eastAsia="仿宋_GB2312" w:cs="Times New Roman"/>
          <w:color w:val="auto"/>
          <w:sz w:val="30"/>
          <w:szCs w:val="30"/>
        </w:rPr>
        <w:t>。</w:t>
      </w:r>
      <w:r>
        <w:rPr>
          <w:rFonts w:ascii="Times New Roman" w:hAnsi="Times New Roman" w:eastAsia="仿宋_GB2312" w:cs="Times New Roman"/>
          <w:color w:val="auto"/>
          <w:sz w:val="30"/>
          <w:szCs w:val="30"/>
        </w:rPr>
        <w:t xml:space="preserve"> </w:t>
      </w:r>
    </w:p>
    <w:p>
      <w:pPr>
        <w:adjustRightInd w:val="0"/>
        <w:snapToGrid w:val="0"/>
        <w:spacing w:line="360" w:lineRule="auto"/>
        <w:ind w:firstLine="600" w:firstLineChars="200"/>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lang w:eastAsia="zh-CN"/>
        </w:rPr>
        <w:t>（二）</w:t>
      </w:r>
      <w:r>
        <w:rPr>
          <w:rFonts w:hint="eastAsia" w:ascii="楷体_GB2312" w:hAnsi="楷体_GB2312" w:eastAsia="楷体_GB2312" w:cs="楷体_GB2312"/>
          <w:color w:val="auto"/>
          <w:sz w:val="30"/>
          <w:szCs w:val="30"/>
        </w:rPr>
        <w:t>受理后几个工作日能办结？</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根据</w:t>
      </w:r>
      <w:r>
        <w:rPr>
          <w:rFonts w:hint="eastAsia" w:ascii="Times New Roman" w:hAnsi="Times New Roman" w:eastAsia="仿宋_GB2312" w:cs="Times New Roman"/>
          <w:color w:val="auto"/>
          <w:sz w:val="30"/>
          <w:szCs w:val="30"/>
        </w:rPr>
        <w:t>《国家外汇管理局行政许可实施办法》（国家外汇管理局公告2021年第1号）第十五条</w:t>
      </w:r>
      <w:r>
        <w:rPr>
          <w:rFonts w:hint="eastAsia" w:ascii="Times New Roman" w:hAnsi="Times New Roman" w:eastAsia="仿宋_GB2312" w:cs="Times New Roman"/>
          <w:color w:val="auto"/>
          <w:sz w:val="30"/>
          <w:szCs w:val="30"/>
          <w:lang w:eastAsia="zh-CN"/>
        </w:rPr>
        <w:t>，对于</w:t>
      </w:r>
      <w:r>
        <w:rPr>
          <w:rFonts w:hint="eastAsia" w:ascii="Times New Roman" w:hAnsi="Times New Roman" w:eastAsia="仿宋_GB2312" w:cs="Times New Roman"/>
          <w:color w:val="auto"/>
          <w:sz w:val="30"/>
          <w:szCs w:val="30"/>
        </w:rPr>
        <w:t>不能当场作出决定的</w:t>
      </w:r>
      <w:r>
        <w:rPr>
          <w:rFonts w:hint="eastAsia" w:ascii="Times New Roman" w:hAnsi="Times New Roman" w:eastAsia="仿宋_GB2312" w:cs="Times New Roman"/>
          <w:color w:val="auto"/>
          <w:sz w:val="30"/>
          <w:szCs w:val="30"/>
          <w:lang w:eastAsia="zh-CN"/>
        </w:rPr>
        <w:t>行政许可事项</w:t>
      </w:r>
      <w:r>
        <w:rPr>
          <w:rFonts w:hint="eastAsia" w:ascii="Times New Roman" w:hAnsi="Times New Roman" w:eastAsia="仿宋_GB2312" w:cs="Times New Roman"/>
          <w:color w:val="auto"/>
          <w:sz w:val="30"/>
          <w:szCs w:val="30"/>
        </w:rPr>
        <w:t>，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adjustRightInd w:val="0"/>
        <w:snapToGrid w:val="0"/>
        <w:spacing w:line="360" w:lineRule="auto"/>
        <w:ind w:firstLine="600" w:firstLineChars="200"/>
        <w:outlineLvl w:val="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二十三、</w:t>
      </w:r>
      <w:r>
        <w:rPr>
          <w:rFonts w:ascii="Times New Roman" w:hAnsi="Times New Roman" w:eastAsia="黑体" w:cs="Times New Roman"/>
          <w:color w:val="auto"/>
          <w:sz w:val="30"/>
          <w:szCs w:val="30"/>
        </w:rPr>
        <w:t>常见错误示例</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某公司近两年因违反外汇管理规定被处罚，申请该业务。</w:t>
      </w:r>
    </w:p>
    <w:p>
      <w:pPr>
        <w:adjustRightInd w:val="0"/>
        <w:snapToGrid w:val="0"/>
        <w:spacing w:line="360" w:lineRule="auto"/>
        <w:ind w:firstLine="600" w:firstLineChars="200"/>
        <w:rPr>
          <w:rFonts w:ascii="Times New Roman" w:hAnsi="Times New Roman" w:eastAsia="仿宋_GB2312" w:cs="Times New Roman"/>
          <w:color w:val="auto"/>
          <w:sz w:val="30"/>
          <w:szCs w:val="30"/>
        </w:rPr>
      </w:pPr>
    </w:p>
    <w:p>
      <w:pPr>
        <w:widowControl/>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br w:type="page"/>
      </w:r>
    </w:p>
    <w:p>
      <w:pPr>
        <w:ind w:right="3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附录</w:t>
      </w:r>
    </w:p>
    <w:p>
      <w:pPr>
        <w:ind w:right="300"/>
        <w:jc w:val="center"/>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基本流程</w:t>
      </w:r>
      <w:r>
        <w:rPr>
          <w:rFonts w:hint="eastAsia" w:ascii="Times New Roman" w:hAnsi="Times New Roman" w:eastAsia="黑体" w:cs="Times New Roman"/>
          <w:color w:val="auto"/>
          <w:sz w:val="30"/>
          <w:szCs w:val="30"/>
        </w:rPr>
        <w:t>图</w:t>
      </w:r>
    </w:p>
    <w:p>
      <w:pPr>
        <w:adjustRightInd w:val="0"/>
        <w:snapToGrid w:val="0"/>
        <w:spacing w:line="360" w:lineRule="auto"/>
        <w:rPr>
          <w:rFonts w:ascii="Times New Roman" w:hAnsi="Times New Roman" w:cs="Times New Roman"/>
          <w:color w:val="auto"/>
        </w:rPr>
      </w:pPr>
      <w:r>
        <w:rPr>
          <w:rFonts w:ascii="Times New Roman" w:hAnsi="Times New Roman" w:eastAsia="宋体" w:cs="Times New Roman"/>
          <w:color w:val="auto"/>
          <w:kern w:val="2"/>
          <w:sz w:val="21"/>
          <w:szCs w:val="22"/>
          <w:lang w:val="en-US" w:eastAsia="zh-CN" w:bidi="ar-SA"/>
        </w:rPr>
        <w:pict>
          <v:group id="Group 25" o:spid="_x0000_s1028" o:spt="203" style="position:absolute;left:0pt;margin-left:-42.35pt;margin-top:35.25pt;height:473.2pt;width:472.7pt;z-index:251659264;mso-width-relative:page;mso-height-relative:page;" coordorigin="825,3393" coordsize="9454,9464">
            <o:lock v:ext="edit" position="f" selection="f" grouping="f" rotation="f" cropping="f" text="f" aspectratio="f"/>
            <v:shape id="直接箭头连接符 21" o:spid="_x0000_s1029" o:spt="32" type="#_x0000_t32" style="position:absolute;left:2402;top:4552;height:1468;width:17;"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直接箭头连接符 17" o:spid="_x0000_s1030" o:spt="32" type="#_x0000_t32" style="position:absolute;left:4275;top:5918;height:1;width:564;"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直接箭头连接符 16" o:spid="_x0000_s1031" o:spt="32" type="#_x0000_t32" style="position:absolute;left:4275;top:6752;height:1;width:564;"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直接箭头连接符 18" o:spid="_x0000_s1032" o:spt="34" type="#_x0000_t34" style="position:absolute;left:8573;top:5455;height:1;width:271;rotation:17694720f;" fillcolor="#FFFFFF" filled="t" o:preferrelative="t" stroked="t" coordsize="21600,21600" adj="10760">
              <v:path arrowok="t"/>
              <v:fill on="t" focussize="0,0"/>
              <v:stroke color="#000000" color2="#FFFFFF" miterlimit="2" endarrow="block"/>
              <v:imagedata gain="65536f" blacklevel="0f" gamma="0" o:title=""/>
              <o:lock v:ext="edit" position="f" selection="f" grouping="f" rotation="f" cropping="f" text="f" aspectratio="f"/>
            </v:shape>
            <v:shape id="直接箭头连接符 19" o:spid="_x0000_s1033" o:spt="32" type="#_x0000_t32" style="position:absolute;left:2417;top:4938;flip:x y;height:72;width:4851;"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直接箭头连接符 9" o:spid="_x0000_s1034" o:spt="32" type="#_x0000_t32" style="position:absolute;left:5002;top:9276;height:437;width:0;"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直接箭头连接符 11" o:spid="_x0000_s1035" o:spt="32" type="#_x0000_t32" style="position:absolute;left:4986;top:11195;height:905;width:1;"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直接箭头连接符 5" o:spid="_x0000_s1036" o:spt="32" type="#_x0000_t32" style="position:absolute;left:2432;top:7405;height:1391;width:0;"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v:shape id="直接箭头连接符 6" o:spid="_x0000_s1037" o:spt="32" type="#_x0000_t32" style="position:absolute;left:2432;top:8792;height:0;width:822;"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流程图: 决策 2" o:spid="_x0000_s1038" o:spt="110" type="#_x0000_t110" style="position:absolute;left:825;top:5391;height:2085;width:3157;"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jc w:val="left"/>
                    </w:pPr>
                    <w:r>
                      <w:rPr>
                        <w:rFonts w:hint="eastAsia"/>
                      </w:rPr>
                      <w:t>接件并于</w:t>
                    </w:r>
                    <w:r>
                      <w:rPr>
                        <w:rFonts w:ascii="Times New Roman" w:hAnsi="Times New Roman" w:cs="Times New Roman"/>
                      </w:rPr>
                      <w:t>5</w:t>
                    </w:r>
                    <w:r>
                      <w:rPr>
                        <w:rFonts w:hint="eastAsia"/>
                      </w:rPr>
                      <w:t>个工作日作出是否受理决定</w:t>
                    </w:r>
                  </w:p>
                </w:txbxContent>
              </v:textbox>
            </v:shape>
            <v:shape id="直接箭头连接符 3" o:spid="_x0000_s1039" o:spt="32" type="#_x0000_t32" style="position:absolute;left:4275;top:5933;height:804;width:0;"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v:shape id="直接箭头连接符 4" o:spid="_x0000_s1040" o:spt="32" type="#_x0000_t32" style="position:absolute;left:3982;top:6416;height:0;width:293;"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v:rect id="矩形 20" o:spid="_x0000_s1041" o:spt="1" style="position:absolute;left:7272;top:4573;height:720;width:2929;"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申请人</w:t>
                    </w:r>
                    <w:r>
                      <w:rPr>
                        <w:rFonts w:hint="eastAsia"/>
                        <w:lang w:eastAsia="zh-CN"/>
                      </w:rPr>
                      <w:t>补正</w:t>
                    </w:r>
                    <w:r>
                      <w:rPr>
                        <w:rFonts w:hint="eastAsia"/>
                      </w:rPr>
                      <w:t>材料</w:t>
                    </w:r>
                  </w:p>
                </w:txbxContent>
              </v:textbox>
            </v:rect>
            <v:shape id="流程图: 过程 7" o:spid="_x0000_s1042" o:spt="109" type="#_x0000_t109" style="position:absolute;left:4839;top:5591;height:587;width:5440;"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材料不全或不符合法定形式的，一次性告知补正材料</w:t>
                    </w:r>
                  </w:p>
                </w:txbxContent>
              </v:textbox>
            </v:shape>
            <v:rect id="矩形 8" o:spid="_x0000_s1043" o:spt="1" style="position:absolute;left:4839;top:6592;height:811;width:5440;"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rPr>
                        <w:rFonts w:hint="eastAsia"/>
                      </w:rPr>
                    </w:pPr>
                    <w:r>
                      <w:rPr>
                        <w:rFonts w:hint="eastAsia"/>
                      </w:rPr>
                      <w:t>依法不予受理的，作出不予受理决定，出具不予受理行政许可通知书</w:t>
                    </w:r>
                  </w:p>
                </w:txbxContent>
              </v:textbox>
            </v:rect>
            <v:shape id="流程图: 过程 13" o:spid="_x0000_s1044" o:spt="109" type="#_x0000_t109" style="position:absolute;left:3332;top:8461;height:815;width:3227;"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依法应予受理的，出具行政许可受理通知书</w:t>
                    </w:r>
                  </w:p>
                  <w:p/>
                </w:txbxContent>
              </v:textbox>
            </v:shape>
            <v:shape id="流程图: 决策 10" o:spid="_x0000_s1045" o:spt="110" type="#_x0000_t110" style="position:absolute;left:3456;top:9713;height:1444;width:3064;"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jc w:val="center"/>
                    </w:pPr>
                    <w:r>
                      <w:rPr>
                        <w:rFonts w:hint="eastAsia"/>
                      </w:rPr>
                      <w:t>审查报批</w:t>
                    </w:r>
                  </w:p>
                </w:txbxContent>
              </v:textbox>
            </v:shape>
            <v:shape id="流程图: 过程 12" o:spid="_x0000_s1046" o:spt="109" type="#_x0000_t109" style="position:absolute;left:3452;top:12100;height:757;width:2987;"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拟准予行政许可的，出具准予行政许可的书面决定</w:t>
                    </w:r>
                  </w:p>
                  <w:p/>
                </w:txbxContent>
              </v:textbox>
            </v:shape>
            <v:shape id="流程图: 过程 14" o:spid="_x0000_s1047" o:spt="109" type="#_x0000_t109" style="position:absolute;left:7786;top:10041;height:766;width:2298;"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依法</w:t>
                    </w:r>
                    <w:r>
                      <w:rPr>
                        <w:rFonts w:hint="eastAsia"/>
                        <w:lang w:eastAsia="zh-CN"/>
                      </w:rPr>
                      <w:t>出具不予行政许可决定书</w:t>
                    </w:r>
                  </w:p>
                  <w:p/>
                </w:txbxContent>
              </v:textbox>
            </v:shape>
            <v:shape id="直接箭头连接符 15" o:spid="_x0000_s1048" o:spt="32" type="#_x0000_t32" style="position:absolute;left:6520;top:10422;flip:y;height:15;width:1266;"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流程图: 终止 22" o:spid="_x0000_s1049" o:spt="116" type="#_x0000_t116" style="position:absolute;left:1258;top:3393;height:1172;width:2467;"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申请人提出书面申请，并提交材料</w:t>
                    </w:r>
                  </w:p>
                  <w:p/>
                </w:txbxContent>
              </v:textbox>
            </v:shape>
          </v:group>
        </w:pict>
      </w: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Noto Sans Mono CJK JP Regular">
    <w:altName w:val="微软雅黑"/>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Calibri" w:hAnsi="Calibri" w:eastAsia="宋体" w:cs="黑体"/>
        <w:kern w:val="2"/>
        <w:sz w:val="18"/>
        <w:szCs w:val="18"/>
        <w:lang w:val="en-US" w:eastAsia="zh-CN" w:bidi="ar-SA"/>
      </w:rPr>
      <w:pict>
        <v:shape id="文本框 23" o:spid="_x0000_s2050"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Calibri" w:hAnsi="Calibri" w:eastAsia="宋体" w:cs="黑体"/>
        <w:kern w:val="2"/>
        <w:sz w:val="18"/>
        <w:szCs w:val="18"/>
        <w:lang w:val="en-US" w:eastAsia="zh-CN" w:bidi="ar-SA"/>
      </w:rPr>
      <w:pict>
        <v:shape id="文本框 24" o:spid="_x0000_s2049"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GQ4YjIwYjI4ZmE4OWQ2YmE1MDViYjU3ZGNiYjhlODIifQ=="/>
  </w:docVars>
  <w:rsids>
    <w:rsidRoot w:val="00AB131E"/>
    <w:rsid w:val="00003372"/>
    <w:rsid w:val="00022191"/>
    <w:rsid w:val="00023783"/>
    <w:rsid w:val="000258D3"/>
    <w:rsid w:val="00041960"/>
    <w:rsid w:val="00042B58"/>
    <w:rsid w:val="00054B00"/>
    <w:rsid w:val="00055270"/>
    <w:rsid w:val="0006560A"/>
    <w:rsid w:val="00072F8A"/>
    <w:rsid w:val="000750C8"/>
    <w:rsid w:val="00077973"/>
    <w:rsid w:val="00080630"/>
    <w:rsid w:val="00091661"/>
    <w:rsid w:val="00092D53"/>
    <w:rsid w:val="00096CBB"/>
    <w:rsid w:val="00097F7B"/>
    <w:rsid w:val="000B308B"/>
    <w:rsid w:val="000B6901"/>
    <w:rsid w:val="000B728B"/>
    <w:rsid w:val="000C15B3"/>
    <w:rsid w:val="000C2B33"/>
    <w:rsid w:val="000D1995"/>
    <w:rsid w:val="000D7478"/>
    <w:rsid w:val="0012202B"/>
    <w:rsid w:val="0012271F"/>
    <w:rsid w:val="00130519"/>
    <w:rsid w:val="00135BEE"/>
    <w:rsid w:val="00140FCF"/>
    <w:rsid w:val="0014667A"/>
    <w:rsid w:val="00154B58"/>
    <w:rsid w:val="00157C64"/>
    <w:rsid w:val="00157E81"/>
    <w:rsid w:val="00170126"/>
    <w:rsid w:val="00177059"/>
    <w:rsid w:val="00181D3E"/>
    <w:rsid w:val="00182FDC"/>
    <w:rsid w:val="00196FAE"/>
    <w:rsid w:val="001A08D4"/>
    <w:rsid w:val="001A3E49"/>
    <w:rsid w:val="001A72AA"/>
    <w:rsid w:val="001B1E2C"/>
    <w:rsid w:val="001C44C7"/>
    <w:rsid w:val="001D65A2"/>
    <w:rsid w:val="001E1407"/>
    <w:rsid w:val="001F4BD4"/>
    <w:rsid w:val="001F7297"/>
    <w:rsid w:val="00205D07"/>
    <w:rsid w:val="00212F39"/>
    <w:rsid w:val="00217116"/>
    <w:rsid w:val="002222D1"/>
    <w:rsid w:val="00224238"/>
    <w:rsid w:val="00231EED"/>
    <w:rsid w:val="00233841"/>
    <w:rsid w:val="00235F24"/>
    <w:rsid w:val="002417D2"/>
    <w:rsid w:val="00241FE8"/>
    <w:rsid w:val="00242648"/>
    <w:rsid w:val="00243264"/>
    <w:rsid w:val="0024527E"/>
    <w:rsid w:val="00253A10"/>
    <w:rsid w:val="00253F7B"/>
    <w:rsid w:val="00255EAC"/>
    <w:rsid w:val="00262235"/>
    <w:rsid w:val="00263B1F"/>
    <w:rsid w:val="00263BFE"/>
    <w:rsid w:val="002738B5"/>
    <w:rsid w:val="00291C17"/>
    <w:rsid w:val="0029313A"/>
    <w:rsid w:val="002B0B1C"/>
    <w:rsid w:val="002B598D"/>
    <w:rsid w:val="002B61C1"/>
    <w:rsid w:val="002E1323"/>
    <w:rsid w:val="002E4A4E"/>
    <w:rsid w:val="002F3868"/>
    <w:rsid w:val="00302119"/>
    <w:rsid w:val="00302E87"/>
    <w:rsid w:val="00310261"/>
    <w:rsid w:val="00324E79"/>
    <w:rsid w:val="00342642"/>
    <w:rsid w:val="00343044"/>
    <w:rsid w:val="00344B01"/>
    <w:rsid w:val="00353AC4"/>
    <w:rsid w:val="003616B4"/>
    <w:rsid w:val="003A57B2"/>
    <w:rsid w:val="003B0C46"/>
    <w:rsid w:val="003C7132"/>
    <w:rsid w:val="003D4A51"/>
    <w:rsid w:val="003D77A5"/>
    <w:rsid w:val="003E6BF6"/>
    <w:rsid w:val="003F221D"/>
    <w:rsid w:val="003F3097"/>
    <w:rsid w:val="00402AE8"/>
    <w:rsid w:val="00405FE6"/>
    <w:rsid w:val="00406AEB"/>
    <w:rsid w:val="004105BC"/>
    <w:rsid w:val="004163C0"/>
    <w:rsid w:val="00421C27"/>
    <w:rsid w:val="00434C7C"/>
    <w:rsid w:val="00440A1F"/>
    <w:rsid w:val="00443603"/>
    <w:rsid w:val="00443604"/>
    <w:rsid w:val="00447FA5"/>
    <w:rsid w:val="004501EA"/>
    <w:rsid w:val="00460458"/>
    <w:rsid w:val="0046792D"/>
    <w:rsid w:val="004767DF"/>
    <w:rsid w:val="00493CCC"/>
    <w:rsid w:val="004A0218"/>
    <w:rsid w:val="004A7840"/>
    <w:rsid w:val="004B5070"/>
    <w:rsid w:val="004B545A"/>
    <w:rsid w:val="004B7E80"/>
    <w:rsid w:val="004C457E"/>
    <w:rsid w:val="004C48D5"/>
    <w:rsid w:val="004D03B7"/>
    <w:rsid w:val="004D1436"/>
    <w:rsid w:val="004D57AE"/>
    <w:rsid w:val="005056D4"/>
    <w:rsid w:val="005125EC"/>
    <w:rsid w:val="00526B2B"/>
    <w:rsid w:val="005362B0"/>
    <w:rsid w:val="0053703D"/>
    <w:rsid w:val="00542447"/>
    <w:rsid w:val="00545209"/>
    <w:rsid w:val="0055599B"/>
    <w:rsid w:val="00564312"/>
    <w:rsid w:val="005774DB"/>
    <w:rsid w:val="00577B1E"/>
    <w:rsid w:val="00586E61"/>
    <w:rsid w:val="00593C10"/>
    <w:rsid w:val="005A2981"/>
    <w:rsid w:val="005B0F69"/>
    <w:rsid w:val="005C6937"/>
    <w:rsid w:val="005C7F02"/>
    <w:rsid w:val="005D0D5F"/>
    <w:rsid w:val="005F0A86"/>
    <w:rsid w:val="005F144A"/>
    <w:rsid w:val="005F1C00"/>
    <w:rsid w:val="006003C2"/>
    <w:rsid w:val="0061621E"/>
    <w:rsid w:val="00630AA8"/>
    <w:rsid w:val="00630B2E"/>
    <w:rsid w:val="00643D2A"/>
    <w:rsid w:val="006523DA"/>
    <w:rsid w:val="00664E11"/>
    <w:rsid w:val="00673B30"/>
    <w:rsid w:val="006946A7"/>
    <w:rsid w:val="00696E5D"/>
    <w:rsid w:val="006B3DF4"/>
    <w:rsid w:val="006B5B86"/>
    <w:rsid w:val="006C5908"/>
    <w:rsid w:val="006C633E"/>
    <w:rsid w:val="006D734F"/>
    <w:rsid w:val="006E043F"/>
    <w:rsid w:val="006E4695"/>
    <w:rsid w:val="006E4B8B"/>
    <w:rsid w:val="006E5901"/>
    <w:rsid w:val="007054F3"/>
    <w:rsid w:val="0071091C"/>
    <w:rsid w:val="00714961"/>
    <w:rsid w:val="00744BD5"/>
    <w:rsid w:val="00745748"/>
    <w:rsid w:val="00750E36"/>
    <w:rsid w:val="00753125"/>
    <w:rsid w:val="00753CB0"/>
    <w:rsid w:val="00755460"/>
    <w:rsid w:val="00761FB7"/>
    <w:rsid w:val="00762107"/>
    <w:rsid w:val="00764CB9"/>
    <w:rsid w:val="00765B05"/>
    <w:rsid w:val="00770157"/>
    <w:rsid w:val="00785F45"/>
    <w:rsid w:val="007933BD"/>
    <w:rsid w:val="007A2780"/>
    <w:rsid w:val="007A403E"/>
    <w:rsid w:val="007A68EA"/>
    <w:rsid w:val="007B06FC"/>
    <w:rsid w:val="007B0FEF"/>
    <w:rsid w:val="007B2DB5"/>
    <w:rsid w:val="007D2C11"/>
    <w:rsid w:val="007D6171"/>
    <w:rsid w:val="007D69EA"/>
    <w:rsid w:val="007E2C7B"/>
    <w:rsid w:val="007E411B"/>
    <w:rsid w:val="007F0863"/>
    <w:rsid w:val="007F2F3B"/>
    <w:rsid w:val="00802307"/>
    <w:rsid w:val="0082168E"/>
    <w:rsid w:val="00821968"/>
    <w:rsid w:val="008471B6"/>
    <w:rsid w:val="00851521"/>
    <w:rsid w:val="0085686A"/>
    <w:rsid w:val="00860878"/>
    <w:rsid w:val="008731FF"/>
    <w:rsid w:val="0088294A"/>
    <w:rsid w:val="0089282A"/>
    <w:rsid w:val="008A1DC0"/>
    <w:rsid w:val="008A4538"/>
    <w:rsid w:val="008A704B"/>
    <w:rsid w:val="008B079F"/>
    <w:rsid w:val="008B08D2"/>
    <w:rsid w:val="008B4EE5"/>
    <w:rsid w:val="008B5807"/>
    <w:rsid w:val="008D5FA0"/>
    <w:rsid w:val="008E2D38"/>
    <w:rsid w:val="008F5724"/>
    <w:rsid w:val="00902633"/>
    <w:rsid w:val="009027D8"/>
    <w:rsid w:val="0090372F"/>
    <w:rsid w:val="00911E27"/>
    <w:rsid w:val="0092129A"/>
    <w:rsid w:val="00925BB2"/>
    <w:rsid w:val="00930C8C"/>
    <w:rsid w:val="009360EA"/>
    <w:rsid w:val="00945E71"/>
    <w:rsid w:val="00947C57"/>
    <w:rsid w:val="00951149"/>
    <w:rsid w:val="00960EDB"/>
    <w:rsid w:val="009622DB"/>
    <w:rsid w:val="009664BC"/>
    <w:rsid w:val="00980F02"/>
    <w:rsid w:val="00991B77"/>
    <w:rsid w:val="00997523"/>
    <w:rsid w:val="009A0C5D"/>
    <w:rsid w:val="009A766A"/>
    <w:rsid w:val="009C1AE0"/>
    <w:rsid w:val="009C4672"/>
    <w:rsid w:val="009C491B"/>
    <w:rsid w:val="009C7E8B"/>
    <w:rsid w:val="009D0911"/>
    <w:rsid w:val="009D24F8"/>
    <w:rsid w:val="009D688C"/>
    <w:rsid w:val="009D703D"/>
    <w:rsid w:val="009F7A36"/>
    <w:rsid w:val="00A249C2"/>
    <w:rsid w:val="00A24FAB"/>
    <w:rsid w:val="00A301E7"/>
    <w:rsid w:val="00A42E69"/>
    <w:rsid w:val="00A45CA7"/>
    <w:rsid w:val="00A51415"/>
    <w:rsid w:val="00A6014E"/>
    <w:rsid w:val="00A60356"/>
    <w:rsid w:val="00A81DF1"/>
    <w:rsid w:val="00A90EF3"/>
    <w:rsid w:val="00A9342E"/>
    <w:rsid w:val="00AA28A2"/>
    <w:rsid w:val="00AA7717"/>
    <w:rsid w:val="00AB131E"/>
    <w:rsid w:val="00AB3B88"/>
    <w:rsid w:val="00AB644F"/>
    <w:rsid w:val="00AC3F5E"/>
    <w:rsid w:val="00AD2DED"/>
    <w:rsid w:val="00AE7ACF"/>
    <w:rsid w:val="00AF1339"/>
    <w:rsid w:val="00B06409"/>
    <w:rsid w:val="00B17D66"/>
    <w:rsid w:val="00B35D3A"/>
    <w:rsid w:val="00B422F1"/>
    <w:rsid w:val="00B52382"/>
    <w:rsid w:val="00B54103"/>
    <w:rsid w:val="00B71531"/>
    <w:rsid w:val="00B7456C"/>
    <w:rsid w:val="00B84131"/>
    <w:rsid w:val="00B8630E"/>
    <w:rsid w:val="00B931F4"/>
    <w:rsid w:val="00B95573"/>
    <w:rsid w:val="00B96395"/>
    <w:rsid w:val="00BA2AF8"/>
    <w:rsid w:val="00BB2650"/>
    <w:rsid w:val="00BB5BDC"/>
    <w:rsid w:val="00BB7447"/>
    <w:rsid w:val="00BB7B76"/>
    <w:rsid w:val="00BD233D"/>
    <w:rsid w:val="00BF4EF0"/>
    <w:rsid w:val="00BF7FCF"/>
    <w:rsid w:val="00C02E44"/>
    <w:rsid w:val="00C147D2"/>
    <w:rsid w:val="00C2075F"/>
    <w:rsid w:val="00C23799"/>
    <w:rsid w:val="00C274C9"/>
    <w:rsid w:val="00C275D5"/>
    <w:rsid w:val="00C31E02"/>
    <w:rsid w:val="00C42513"/>
    <w:rsid w:val="00C4465B"/>
    <w:rsid w:val="00C46940"/>
    <w:rsid w:val="00C54291"/>
    <w:rsid w:val="00C601D3"/>
    <w:rsid w:val="00C672C3"/>
    <w:rsid w:val="00C712B2"/>
    <w:rsid w:val="00C74460"/>
    <w:rsid w:val="00C97FED"/>
    <w:rsid w:val="00CA1DBB"/>
    <w:rsid w:val="00CA2622"/>
    <w:rsid w:val="00CA7F2C"/>
    <w:rsid w:val="00CA7FF8"/>
    <w:rsid w:val="00CB5DE7"/>
    <w:rsid w:val="00CC068D"/>
    <w:rsid w:val="00CC4922"/>
    <w:rsid w:val="00CD1FF6"/>
    <w:rsid w:val="00CE25C7"/>
    <w:rsid w:val="00CE3335"/>
    <w:rsid w:val="00CE4849"/>
    <w:rsid w:val="00CE5C8E"/>
    <w:rsid w:val="00CE5F49"/>
    <w:rsid w:val="00CE61BD"/>
    <w:rsid w:val="00D01626"/>
    <w:rsid w:val="00D26728"/>
    <w:rsid w:val="00D26F10"/>
    <w:rsid w:val="00D33A4D"/>
    <w:rsid w:val="00D33F76"/>
    <w:rsid w:val="00D37EC3"/>
    <w:rsid w:val="00D41F5E"/>
    <w:rsid w:val="00D43DC0"/>
    <w:rsid w:val="00D457D1"/>
    <w:rsid w:val="00D54E56"/>
    <w:rsid w:val="00D6407D"/>
    <w:rsid w:val="00D93E78"/>
    <w:rsid w:val="00D9765F"/>
    <w:rsid w:val="00DB61F0"/>
    <w:rsid w:val="00DC6E91"/>
    <w:rsid w:val="00DC7514"/>
    <w:rsid w:val="00DD3845"/>
    <w:rsid w:val="00DF3230"/>
    <w:rsid w:val="00E1687A"/>
    <w:rsid w:val="00E20A2E"/>
    <w:rsid w:val="00E277DE"/>
    <w:rsid w:val="00E27EE9"/>
    <w:rsid w:val="00E3239D"/>
    <w:rsid w:val="00E3439B"/>
    <w:rsid w:val="00E37414"/>
    <w:rsid w:val="00E40E64"/>
    <w:rsid w:val="00E42C5F"/>
    <w:rsid w:val="00E65A1B"/>
    <w:rsid w:val="00E72F1F"/>
    <w:rsid w:val="00E80001"/>
    <w:rsid w:val="00E934AB"/>
    <w:rsid w:val="00EA06AC"/>
    <w:rsid w:val="00EA08BF"/>
    <w:rsid w:val="00EA24FB"/>
    <w:rsid w:val="00EB3204"/>
    <w:rsid w:val="00EB50BA"/>
    <w:rsid w:val="00EC3D33"/>
    <w:rsid w:val="00EC7AC5"/>
    <w:rsid w:val="00ED302A"/>
    <w:rsid w:val="00ED3A42"/>
    <w:rsid w:val="00EE02BC"/>
    <w:rsid w:val="00EE6970"/>
    <w:rsid w:val="00EF38D0"/>
    <w:rsid w:val="00EF3DDF"/>
    <w:rsid w:val="00EF4A8C"/>
    <w:rsid w:val="00F12A6C"/>
    <w:rsid w:val="00F2678C"/>
    <w:rsid w:val="00F27B38"/>
    <w:rsid w:val="00F40278"/>
    <w:rsid w:val="00F41832"/>
    <w:rsid w:val="00F56988"/>
    <w:rsid w:val="00F620FB"/>
    <w:rsid w:val="00F6571F"/>
    <w:rsid w:val="00F8687E"/>
    <w:rsid w:val="00F93331"/>
    <w:rsid w:val="00F95549"/>
    <w:rsid w:val="00FA1E24"/>
    <w:rsid w:val="00FA24FB"/>
    <w:rsid w:val="00FA632B"/>
    <w:rsid w:val="00FA7FB8"/>
    <w:rsid w:val="00FB09C6"/>
    <w:rsid w:val="00FB38EA"/>
    <w:rsid w:val="00FB5E0F"/>
    <w:rsid w:val="00FB5E8C"/>
    <w:rsid w:val="00FB6AFF"/>
    <w:rsid w:val="00FC4D8F"/>
    <w:rsid w:val="00FD06D3"/>
    <w:rsid w:val="00FE3157"/>
    <w:rsid w:val="00FE6865"/>
    <w:rsid w:val="00FE6993"/>
    <w:rsid w:val="00FF6200"/>
    <w:rsid w:val="039B7D57"/>
    <w:rsid w:val="054D7BD9"/>
    <w:rsid w:val="09084027"/>
    <w:rsid w:val="09E5284C"/>
    <w:rsid w:val="10237D47"/>
    <w:rsid w:val="10FA55EC"/>
    <w:rsid w:val="112D2914"/>
    <w:rsid w:val="12183227"/>
    <w:rsid w:val="138A15B7"/>
    <w:rsid w:val="14773780"/>
    <w:rsid w:val="14812163"/>
    <w:rsid w:val="163C7970"/>
    <w:rsid w:val="1E9624D1"/>
    <w:rsid w:val="1FCB244E"/>
    <w:rsid w:val="2356081A"/>
    <w:rsid w:val="295033A7"/>
    <w:rsid w:val="29FD4C1E"/>
    <w:rsid w:val="2AD424B9"/>
    <w:rsid w:val="2DDC11D1"/>
    <w:rsid w:val="376474A4"/>
    <w:rsid w:val="3E330D78"/>
    <w:rsid w:val="428E3344"/>
    <w:rsid w:val="438937A4"/>
    <w:rsid w:val="439D4BBA"/>
    <w:rsid w:val="466138A1"/>
    <w:rsid w:val="49140382"/>
    <w:rsid w:val="4ECB071E"/>
    <w:rsid w:val="51C60389"/>
    <w:rsid w:val="5434795A"/>
    <w:rsid w:val="552D1179"/>
    <w:rsid w:val="5BFD12C8"/>
    <w:rsid w:val="5EFB5ACE"/>
    <w:rsid w:val="5F100219"/>
    <w:rsid w:val="657C4060"/>
    <w:rsid w:val="65E20B49"/>
    <w:rsid w:val="666E3081"/>
    <w:rsid w:val="67414AFB"/>
    <w:rsid w:val="67B95039"/>
    <w:rsid w:val="6A99097B"/>
    <w:rsid w:val="6D144A6E"/>
    <w:rsid w:val="71635B01"/>
    <w:rsid w:val="73277BE7"/>
    <w:rsid w:val="734E37CA"/>
    <w:rsid w:val="74E365C3"/>
    <w:rsid w:val="7A572F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直接箭头连接符 21"/>
        <o:r id="V:Rule2" type="connector" idref="#直接箭头连接符 17"/>
        <o:r id="V:Rule3" type="connector" idref="#直接箭头连接符 16"/>
        <o:r id="V:Rule4" type="connector" idref="#直接箭头连接符 18"/>
        <o:r id="V:Rule5" type="connector" idref="#直接箭头连接符 19"/>
        <o:r id="V:Rule6" type="connector" idref="#直接箭头连接符 9"/>
        <o:r id="V:Rule7" type="connector" idref="#直接箭头连接符 11"/>
        <o:r id="V:Rule8" type="connector" idref="#直接箭头连接符 5"/>
        <o:r id="V:Rule9" type="connector" idref="#直接箭头连接符 6"/>
        <o:r id="V:Rule10" type="connector" idref="#直接箭头连接符 3"/>
        <o:r id="V:Rule11" type="connector" idref="#直接箭头连接符 4"/>
        <o:r id="V:Rule12" type="connector" idref="#直接箭头连接符 1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34"/>
    <w:qFormat/>
    <w:uiPriority w:val="9"/>
    <w:pPr>
      <w:ind w:firstLine="600" w:firstLineChars="200"/>
      <w:outlineLvl w:val="0"/>
    </w:pPr>
    <w:rPr>
      <w:rFonts w:ascii="黑体" w:hAnsi="黑体" w:eastAsia="黑体" w:cs="宋体"/>
      <w:color w:val="000000"/>
      <w:kern w:val="0"/>
      <w:sz w:val="30"/>
      <w:szCs w:val="30"/>
    </w:rPr>
  </w:style>
  <w:style w:type="paragraph" w:styleId="4">
    <w:name w:val="heading 2"/>
    <w:basedOn w:val="1"/>
    <w:next w:val="1"/>
    <w:link w:val="3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36"/>
    <w:qFormat/>
    <w:uiPriority w:val="9"/>
    <w:pPr>
      <w:ind w:right="300"/>
      <w:outlineLvl w:val="2"/>
    </w:pPr>
    <w:rPr>
      <w:rFonts w:ascii="仿宋_GB2312" w:hAnsi="Calibri" w:eastAsia="仿宋_GB2312" w:cs="Times New Roman"/>
      <w:sz w:val="30"/>
      <w:szCs w:val="30"/>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6">
    <w:name w:val="Document Map"/>
    <w:basedOn w:val="1"/>
    <w:link w:val="40"/>
    <w:unhideWhenUsed/>
    <w:qFormat/>
    <w:uiPriority w:val="0"/>
    <w:rPr>
      <w:rFonts w:ascii="宋体"/>
      <w:sz w:val="18"/>
      <w:szCs w:val="18"/>
    </w:rPr>
  </w:style>
  <w:style w:type="paragraph" w:styleId="7">
    <w:name w:val="annotation text"/>
    <w:basedOn w:val="1"/>
    <w:link w:val="33"/>
    <w:unhideWhenUsed/>
    <w:qFormat/>
    <w:uiPriority w:val="99"/>
    <w:pPr>
      <w:jc w:val="left"/>
    </w:pPr>
    <w:rPr>
      <w:rFonts w:ascii="Calibri" w:hAnsi="Calibri" w:eastAsia="宋体" w:cs="Times New Roman"/>
    </w:rPr>
  </w:style>
  <w:style w:type="paragraph" w:styleId="8">
    <w:name w:val="Balloon Text"/>
    <w:basedOn w:val="1"/>
    <w:link w:val="31"/>
    <w:unhideWhenUsed/>
    <w:qFormat/>
    <w:uiPriority w:val="0"/>
    <w:rPr>
      <w:sz w:val="18"/>
      <w:szCs w:val="18"/>
    </w:rPr>
  </w:style>
  <w:style w:type="paragraph" w:styleId="9">
    <w:name w:val="footer"/>
    <w:basedOn w:val="1"/>
    <w:link w:val="30"/>
    <w:unhideWhenUsed/>
    <w:qFormat/>
    <w:uiPriority w:val="99"/>
    <w:pPr>
      <w:tabs>
        <w:tab w:val="center" w:pos="4153"/>
        <w:tab w:val="right" w:pos="8306"/>
      </w:tabs>
      <w:snapToGrid w:val="0"/>
      <w:jc w:val="left"/>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38"/>
    <w:semiHidden/>
    <w:qFormat/>
    <w:uiPriority w:val="0"/>
    <w:pPr>
      <w:snapToGrid w:val="0"/>
      <w:jc w:val="left"/>
    </w:pPr>
    <w:rPr>
      <w:rFonts w:ascii="Times New Roman" w:hAnsi="Times New Roman"/>
      <w:sz w:val="18"/>
      <w:szCs w:val="18"/>
    </w:rPr>
  </w:style>
  <w:style w:type="paragraph" w:styleId="12">
    <w:name w:val="HTML Preformatted"/>
    <w:basedOn w:val="1"/>
    <w:link w:val="3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Hyperlink"/>
    <w:basedOn w:val="16"/>
    <w:unhideWhenUsed/>
    <w:qFormat/>
    <w:uiPriority w:val="99"/>
    <w:rPr>
      <w:rFonts w:hint="default" w:ascii="ˎ̥" w:hAnsi="ˎ̥"/>
      <w:color w:val="0453CC"/>
      <w:sz w:val="20"/>
      <w:szCs w:val="20"/>
      <w:u w:val="none"/>
    </w:rPr>
  </w:style>
  <w:style w:type="character" w:styleId="18">
    <w:name w:val="annotation reference"/>
    <w:basedOn w:val="16"/>
    <w:unhideWhenUsed/>
    <w:qFormat/>
    <w:uiPriority w:val="0"/>
    <w:rPr>
      <w:sz w:val="21"/>
      <w:szCs w:val="21"/>
    </w:rPr>
  </w:style>
  <w:style w:type="character" w:styleId="19">
    <w:name w:val="footnote reference"/>
    <w:unhideWhenUsed/>
    <w:qFormat/>
    <w:uiPriority w:val="0"/>
    <w:rPr>
      <w:rFonts w:ascii="Times New Roman" w:hAnsi="Times New Roman" w:cs="Times New Roman"/>
      <w:vertAlign w:val="superscript"/>
    </w:rPr>
  </w:style>
  <w:style w:type="paragraph" w:customStyle="1" w:styleId="20">
    <w:name w:val="List Paragraph"/>
    <w:basedOn w:val="1"/>
    <w:qFormat/>
    <w:uiPriority w:val="34"/>
    <w:pPr>
      <w:ind w:firstLine="420" w:firstLineChars="200"/>
    </w:pPr>
  </w:style>
  <w:style w:type="paragraph" w:customStyle="1" w:styleId="21">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22">
    <w:name w:val="juzhong"/>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3">
    <w:name w:val="Revision"/>
    <w:hidden/>
    <w:semiHidden/>
    <w:qFormat/>
    <w:uiPriority w:val="99"/>
    <w:rPr>
      <w:rFonts w:ascii="Calibri" w:hAnsi="Calibri" w:eastAsia="宋体" w:cs="黑体"/>
      <w:kern w:val="2"/>
      <w:sz w:val="21"/>
      <w:szCs w:val="22"/>
      <w:lang w:val="en-US" w:eastAsia="zh-CN" w:bidi="ar-SA"/>
    </w:rPr>
  </w:style>
  <w:style w:type="paragraph" w:customStyle="1" w:styleId="24">
    <w:name w:val="列出段落1"/>
    <w:basedOn w:val="1"/>
    <w:qFormat/>
    <w:uiPriority w:val="34"/>
    <w:pPr>
      <w:ind w:firstLine="420" w:firstLineChars="200"/>
    </w:pPr>
    <w:rPr>
      <w:rFonts w:ascii="Calibri" w:hAnsi="Calibri" w:eastAsia="宋体" w:cs="Times New Roman"/>
    </w:rPr>
  </w:style>
  <w:style w:type="paragraph" w:customStyle="1" w:styleId="25">
    <w:name w:val="列出段落4"/>
    <w:basedOn w:val="1"/>
    <w:qFormat/>
    <w:uiPriority w:val="0"/>
    <w:pPr>
      <w:ind w:firstLine="200" w:firstLineChars="200"/>
    </w:pPr>
    <w:rPr>
      <w:rFonts w:ascii="Calibri" w:hAnsi="Calibri" w:eastAsia="宋体" w:cs="Times New Roman"/>
    </w:rPr>
  </w:style>
  <w:style w:type="paragraph" w:customStyle="1" w:styleId="26">
    <w:name w:val="列出段落3"/>
    <w:basedOn w:val="1"/>
    <w:qFormat/>
    <w:uiPriority w:val="0"/>
    <w:pPr>
      <w:ind w:firstLine="420" w:firstLineChars="200"/>
    </w:pPr>
    <w:rPr>
      <w:rFonts w:ascii="Times New Roman" w:hAnsi="Times New Roman" w:eastAsia="宋体" w:cs="Times New Roman"/>
      <w:szCs w:val="24"/>
    </w:rPr>
  </w:style>
  <w:style w:type="paragraph" w:customStyle="1" w:styleId="27">
    <w:name w:val="p0"/>
    <w:basedOn w:val="1"/>
    <w:qFormat/>
    <w:uiPriority w:val="0"/>
    <w:pPr>
      <w:widowControl/>
    </w:pPr>
    <w:rPr>
      <w:rFonts w:ascii="Calibri" w:hAnsi="Calibri" w:eastAsia="宋体" w:cs="宋体"/>
      <w:kern w:val="0"/>
      <w:szCs w:val="21"/>
    </w:rPr>
  </w:style>
  <w:style w:type="paragraph" w:customStyle="1" w:styleId="28">
    <w:name w:val="Heading 1"/>
    <w:basedOn w:val="1"/>
    <w:qFormat/>
    <w:uiPriority w:val="1"/>
    <w:pPr>
      <w:spacing w:line="541" w:lineRule="exact"/>
      <w:ind w:left="1919" w:right="2017"/>
      <w:jc w:val="center"/>
      <w:outlineLvl w:val="1"/>
    </w:pPr>
    <w:rPr>
      <w:rFonts w:ascii="Noto Sans Mono CJK JP Regular" w:hAnsi="Noto Sans Mono CJK JP Regular" w:eastAsia="Noto Sans Mono CJK JP Regular" w:cs="Noto Sans Mono CJK JP Regular"/>
      <w:sz w:val="36"/>
      <w:szCs w:val="36"/>
    </w:rPr>
  </w:style>
  <w:style w:type="character" w:customStyle="1" w:styleId="29">
    <w:name w:val="页眉 Char"/>
    <w:basedOn w:val="16"/>
    <w:link w:val="10"/>
    <w:qFormat/>
    <w:uiPriority w:val="99"/>
    <w:rPr>
      <w:sz w:val="18"/>
      <w:szCs w:val="18"/>
    </w:rPr>
  </w:style>
  <w:style w:type="character" w:customStyle="1" w:styleId="30">
    <w:name w:val="页脚 Char"/>
    <w:basedOn w:val="16"/>
    <w:link w:val="9"/>
    <w:qFormat/>
    <w:uiPriority w:val="99"/>
    <w:rPr>
      <w:sz w:val="18"/>
      <w:szCs w:val="18"/>
    </w:rPr>
  </w:style>
  <w:style w:type="character" w:customStyle="1" w:styleId="31">
    <w:name w:val="批注框文本 Char"/>
    <w:basedOn w:val="16"/>
    <w:link w:val="8"/>
    <w:semiHidden/>
    <w:qFormat/>
    <w:uiPriority w:val="0"/>
    <w:rPr>
      <w:sz w:val="18"/>
      <w:szCs w:val="18"/>
    </w:rPr>
  </w:style>
  <w:style w:type="character" w:customStyle="1" w:styleId="32">
    <w:name w:val="HTML 预设格式 Char"/>
    <w:basedOn w:val="16"/>
    <w:link w:val="12"/>
    <w:qFormat/>
    <w:uiPriority w:val="99"/>
    <w:rPr>
      <w:rFonts w:ascii="宋体" w:hAnsi="宋体" w:eastAsia="宋体" w:cs="宋体"/>
      <w:kern w:val="0"/>
      <w:sz w:val="24"/>
      <w:szCs w:val="24"/>
    </w:rPr>
  </w:style>
  <w:style w:type="character" w:customStyle="1" w:styleId="33">
    <w:name w:val="批注文字 Char"/>
    <w:basedOn w:val="16"/>
    <w:link w:val="7"/>
    <w:semiHidden/>
    <w:qFormat/>
    <w:uiPriority w:val="0"/>
    <w:rPr>
      <w:rFonts w:ascii="Calibri" w:hAnsi="Calibri" w:eastAsia="宋体" w:cs="Times New Roman"/>
    </w:rPr>
  </w:style>
  <w:style w:type="character" w:customStyle="1" w:styleId="34">
    <w:name w:val="标题 1 Char"/>
    <w:basedOn w:val="16"/>
    <w:link w:val="3"/>
    <w:qFormat/>
    <w:uiPriority w:val="9"/>
    <w:rPr>
      <w:rFonts w:ascii="黑体" w:hAnsi="黑体" w:eastAsia="黑体" w:cs="宋体"/>
      <w:color w:val="000000"/>
      <w:kern w:val="0"/>
      <w:sz w:val="30"/>
      <w:szCs w:val="30"/>
    </w:rPr>
  </w:style>
  <w:style w:type="character" w:customStyle="1" w:styleId="35">
    <w:name w:val="标题 2 Char"/>
    <w:basedOn w:val="16"/>
    <w:link w:val="4"/>
    <w:qFormat/>
    <w:uiPriority w:val="0"/>
    <w:rPr>
      <w:rFonts w:ascii="Cambria" w:hAnsi="Cambria" w:eastAsia="宋体" w:cs="Times New Roman"/>
      <w:b/>
      <w:bCs/>
      <w:sz w:val="32"/>
      <w:szCs w:val="32"/>
    </w:rPr>
  </w:style>
  <w:style w:type="character" w:customStyle="1" w:styleId="36">
    <w:name w:val="标题 3 Char"/>
    <w:basedOn w:val="16"/>
    <w:link w:val="5"/>
    <w:qFormat/>
    <w:uiPriority w:val="9"/>
    <w:rPr>
      <w:rFonts w:ascii="仿宋_GB2312" w:hAnsi="Calibri" w:eastAsia="仿宋_GB2312" w:cs="Times New Roman"/>
      <w:sz w:val="30"/>
      <w:szCs w:val="30"/>
    </w:rPr>
  </w:style>
  <w:style w:type="character" w:customStyle="1" w:styleId="37">
    <w:name w:val="脚注文本 Char"/>
    <w:basedOn w:val="16"/>
    <w:semiHidden/>
    <w:qFormat/>
    <w:uiPriority w:val="99"/>
    <w:rPr>
      <w:kern w:val="2"/>
      <w:sz w:val="18"/>
      <w:szCs w:val="18"/>
    </w:rPr>
  </w:style>
  <w:style w:type="character" w:customStyle="1" w:styleId="38">
    <w:name w:val="脚注文本 Char1"/>
    <w:basedOn w:val="16"/>
    <w:link w:val="11"/>
    <w:semiHidden/>
    <w:qFormat/>
    <w:uiPriority w:val="0"/>
    <w:rPr>
      <w:rFonts w:ascii="Times New Roman" w:hAnsi="Times New Roman"/>
      <w:sz w:val="18"/>
      <w:szCs w:val="18"/>
    </w:rPr>
  </w:style>
  <w:style w:type="character" w:customStyle="1" w:styleId="39">
    <w:name w:val="标题 4 Char Char"/>
    <w:qFormat/>
    <w:uiPriority w:val="0"/>
    <w:rPr>
      <w:rFonts w:ascii="Calibri" w:hAnsi="Calibri"/>
      <w:b/>
      <w:bCs/>
      <w:sz w:val="28"/>
      <w:szCs w:val="28"/>
      <w:lang w:eastAsia="en-US" w:bidi="en-US"/>
    </w:rPr>
  </w:style>
  <w:style w:type="character" w:customStyle="1" w:styleId="40">
    <w:name w:val="文档结构图 Char"/>
    <w:basedOn w:val="16"/>
    <w:link w:val="6"/>
    <w:qFormat/>
    <w:uiPriority w:val="0"/>
    <w:rPr>
      <w:rFonts w:ascii="宋体"/>
      <w:sz w:val="18"/>
      <w:szCs w:val="18"/>
    </w:rPr>
  </w:style>
  <w:style w:type="character" w:customStyle="1" w:styleId="41">
    <w:name w:val="批注文字 Char1"/>
    <w:basedOn w:val="16"/>
    <w:semiHidden/>
    <w:qFormat/>
    <w:uiPriority w:val="99"/>
    <w:rPr>
      <w:kern w:val="2"/>
      <w:sz w:val="21"/>
      <w:szCs w:val="22"/>
    </w:rPr>
  </w:style>
  <w:style w:type="character" w:customStyle="1" w:styleId="42">
    <w:name w:val="Intense Emphasis"/>
    <w:basedOn w:val="16"/>
    <w:qFormat/>
    <w:uiPriority w:val="21"/>
    <w:rPr>
      <w:b/>
      <w:bCs/>
      <w:i/>
      <w:iCs/>
      <w:color w:val="4F81BD"/>
    </w:rPr>
  </w:style>
  <w:style w:type="character" w:customStyle="1" w:styleId="43">
    <w:name w:val="文档结构图 Char1"/>
    <w:basedOn w:val="16"/>
    <w:semiHidden/>
    <w:qFormat/>
    <w:uiPriority w:val="99"/>
    <w:rPr>
      <w:rFonts w:ascii="宋体" w:eastAsia="宋体"/>
      <w:sz w:val="18"/>
      <w:szCs w:val="18"/>
    </w:rPr>
  </w:style>
  <w:style w:type="character" w:customStyle="1" w:styleId="44">
    <w:name w:val="脚注文本 Char2"/>
    <w:basedOn w:val="16"/>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2049" textRotate="1"/>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3304</Words>
  <Characters>3525</Characters>
  <Lines>19</Lines>
  <Paragraphs>5</Paragraphs>
  <TotalTime>0</TotalTime>
  <ScaleCrop>false</ScaleCrop>
  <LinksUpToDate>false</LinksUpToDate>
  <CharactersWithSpaces>3557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2020-02-27T06:09:00Z</dcterms:created>
  <dc:creator>裴建君2</dc:creator>
  <cp:lastModifiedBy>丁蒙/办公室/南宁/PBC</cp:lastModifiedBy>
  <cp:lastPrinted>2020-09-08T02:25:00Z</cp:lastPrinted>
  <dcterms:modified xsi:type="dcterms:W3CDTF">2023-08-30T09:46:24Z</dcterms:modified>
  <dc:title>编号：57017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3663BDEAE2A744EABAA98846E3467AD0_12</vt:lpwstr>
  </property>
</Properties>
</file>