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00"/>
        <w:jc w:val="left"/>
        <w:rPr>
          <w:rFonts w:hint="eastAsia" w:ascii="黑体" w:hAnsi="黑体" w:eastAsia="黑体" w:cs="黑体"/>
          <w:color w:val="auto"/>
          <w:sz w:val="30"/>
          <w:szCs w:val="30"/>
        </w:rPr>
      </w:pPr>
      <w:r>
        <w:rPr>
          <w:rFonts w:hint="eastAsia" w:ascii="黑体" w:hAnsi="黑体" w:eastAsia="黑体" w:cs="黑体"/>
          <w:color w:val="auto"/>
          <w:sz w:val="30"/>
          <w:szCs w:val="30"/>
        </w:rPr>
        <w:t>编号：00017110</w:t>
      </w:r>
      <w:r>
        <w:rPr>
          <w:rFonts w:hint="eastAsia" w:ascii="黑体" w:hAnsi="黑体" w:eastAsia="黑体" w:cs="黑体"/>
          <w:color w:val="auto"/>
          <w:sz w:val="30"/>
          <w:szCs w:val="30"/>
          <w:lang w:val="en-US" w:eastAsia="zh-CN"/>
        </w:rPr>
        <w:t>3001</w:t>
      </w:r>
      <w:r>
        <w:rPr>
          <w:rFonts w:hint="eastAsia" w:ascii="黑体" w:hAnsi="黑体" w:eastAsia="黑体" w:cs="黑体"/>
          <w:color w:val="auto"/>
          <w:sz w:val="30"/>
          <w:szCs w:val="30"/>
        </w:rPr>
        <w:t xml:space="preserve">             </w:t>
      </w:r>
    </w:p>
    <w:p>
      <w:pPr>
        <w:ind w:right="300"/>
        <w:jc w:val="center"/>
        <w:rPr>
          <w:rFonts w:ascii="Times New Roman" w:hAnsi="Times New Roman" w:eastAsia="黑体" w:cs="Times New Roman"/>
          <w:color w:val="auto"/>
          <w:sz w:val="30"/>
          <w:szCs w:val="30"/>
        </w:rPr>
      </w:pPr>
    </w:p>
    <w:p>
      <w:pPr>
        <w:ind w:right="300"/>
        <w:jc w:val="center"/>
        <w:rPr>
          <w:rFonts w:ascii="Times New Roman" w:hAnsi="Times New Roman" w:eastAsia="黑体" w:cs="Times New Roman"/>
          <w:color w:val="auto"/>
          <w:sz w:val="30"/>
          <w:szCs w:val="30"/>
        </w:rPr>
      </w:pPr>
    </w:p>
    <w:p>
      <w:pPr>
        <w:ind w:right="300"/>
        <w:jc w:val="center"/>
        <w:rPr>
          <w:rFonts w:ascii="Times New Roman" w:hAnsi="Times New Roman" w:eastAsia="黑体" w:cs="Times New Roman"/>
          <w:color w:val="auto"/>
          <w:sz w:val="30"/>
          <w:szCs w:val="30"/>
        </w:rPr>
      </w:pPr>
    </w:p>
    <w:p>
      <w:pPr>
        <w:ind w:right="300"/>
        <w:jc w:val="center"/>
        <w:rPr>
          <w:rFonts w:ascii="Times New Roman" w:hAnsi="Times New Roman" w:eastAsia="黑体" w:cs="Times New Roman"/>
          <w:color w:val="auto"/>
          <w:sz w:val="52"/>
          <w:szCs w:val="52"/>
        </w:rPr>
      </w:pPr>
    </w:p>
    <w:p>
      <w:pPr>
        <w:ind w:right="300"/>
        <w:jc w:val="center"/>
        <w:rPr>
          <w:rFonts w:ascii="Times New Roman" w:hAnsi="Times New Roman" w:eastAsia="黑体" w:cs="Times New Roman"/>
          <w:color w:val="auto"/>
          <w:sz w:val="52"/>
          <w:szCs w:val="52"/>
        </w:rPr>
      </w:pPr>
      <w:r>
        <w:rPr>
          <w:rFonts w:ascii="Times New Roman" w:hAnsi="Times New Roman" w:eastAsia="黑体" w:cs="Times New Roman"/>
          <w:color w:val="auto"/>
          <w:sz w:val="52"/>
          <w:szCs w:val="52"/>
        </w:rPr>
        <w:t>“</w:t>
      </w:r>
      <w:r>
        <w:rPr>
          <w:rFonts w:hint="default" w:ascii="Times New Roman" w:hAnsi="Times New Roman" w:eastAsia="黑体" w:cs="Times New Roman"/>
          <w:color w:val="auto"/>
          <w:sz w:val="52"/>
          <w:szCs w:val="52"/>
          <w:lang w:val="en-US" w:eastAsia="zh-CN"/>
        </w:rPr>
        <w:t>分局办理的货物贸易外汇存放境外核准</w:t>
      </w:r>
      <w:r>
        <w:rPr>
          <w:rFonts w:ascii="Times New Roman" w:hAnsi="Times New Roman" w:eastAsia="黑体" w:cs="Times New Roman"/>
          <w:color w:val="auto"/>
          <w:sz w:val="52"/>
          <w:szCs w:val="52"/>
        </w:rPr>
        <w:t xml:space="preserve">” </w:t>
      </w:r>
    </w:p>
    <w:p>
      <w:pPr>
        <w:ind w:right="300"/>
        <w:jc w:val="center"/>
        <w:rPr>
          <w:rFonts w:ascii="Times New Roman" w:hAnsi="Times New Roman" w:eastAsia="黑体" w:cs="Times New Roman"/>
          <w:color w:val="auto"/>
          <w:sz w:val="52"/>
          <w:szCs w:val="52"/>
        </w:rPr>
      </w:pPr>
      <w:r>
        <w:rPr>
          <w:rFonts w:ascii="Times New Roman" w:hAnsi="Times New Roman" w:eastAsia="黑体" w:cs="Times New Roman"/>
          <w:color w:val="auto"/>
          <w:sz w:val="52"/>
          <w:szCs w:val="52"/>
        </w:rPr>
        <w:t>行政审批服务指南</w:t>
      </w: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p>
    <w:p>
      <w:pPr>
        <w:ind w:right="300"/>
        <w:jc w:val="center"/>
        <w:rPr>
          <w:rFonts w:hint="eastAsia" w:ascii="宋体" w:hAnsi="宋体" w:eastAsia="宋体" w:cs="宋体"/>
          <w:b w:val="0"/>
          <w:bCs w:val="0"/>
          <w:color w:val="auto"/>
          <w:sz w:val="40"/>
          <w:szCs w:val="40"/>
          <w:lang w:val="en-US" w:eastAsia="zh-CN"/>
        </w:rPr>
      </w:pPr>
      <w:r>
        <w:rPr>
          <w:rFonts w:hint="eastAsia" w:ascii="宋体" w:hAnsi="宋体" w:eastAsia="宋体" w:cs="宋体"/>
          <w:b w:val="0"/>
          <w:bCs w:val="0"/>
          <w:color w:val="auto"/>
          <w:sz w:val="40"/>
          <w:szCs w:val="40"/>
          <w:lang w:val="en-US" w:eastAsia="zh-CN"/>
        </w:rPr>
        <w:t>国家外汇管理局广西壮族自治区分局</w:t>
      </w:r>
    </w:p>
    <w:p>
      <w:pPr>
        <w:pStyle w:val="13"/>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宋体" w:hAnsi="宋体" w:eastAsia="宋体" w:cs="宋体"/>
          <w:b w:val="0"/>
          <w:bCs w:val="0"/>
          <w:color w:val="auto"/>
          <w:sz w:val="40"/>
          <w:szCs w:val="40"/>
          <w:lang w:val="en-US" w:eastAsia="zh-CN"/>
        </w:rPr>
      </w:pPr>
    </w:p>
    <w:p>
      <w:pPr>
        <w:ind w:right="300"/>
        <w:jc w:val="center"/>
        <w:rPr>
          <w:rFonts w:ascii="Times New Roman" w:hAnsi="Times New Roman" w:eastAsia="仿宋_GB2312" w:cs="Times New Roman"/>
          <w:color w:val="auto"/>
          <w:sz w:val="30"/>
          <w:szCs w:val="30"/>
        </w:rPr>
      </w:pPr>
      <w:r>
        <w:rPr>
          <w:rFonts w:hint="eastAsia" w:ascii="宋体" w:hAnsi="宋体" w:eastAsia="宋体" w:cs="宋体"/>
          <w:b w:val="0"/>
          <w:bCs w:val="0"/>
          <w:color w:val="auto"/>
          <w:sz w:val="40"/>
          <w:szCs w:val="40"/>
          <w:lang w:val="en-US" w:eastAsia="zh-CN"/>
        </w:rPr>
        <w:t>202</w:t>
      </w:r>
      <w:r>
        <w:rPr>
          <w:rFonts w:hint="eastAsia" w:ascii="宋体" w:hAnsi="宋体" w:cs="宋体"/>
          <w:b w:val="0"/>
          <w:bCs w:val="0"/>
          <w:color w:val="auto"/>
          <w:sz w:val="40"/>
          <w:szCs w:val="40"/>
          <w:lang w:val="en-US" w:eastAsia="zh-CN"/>
        </w:rPr>
        <w:t>3</w:t>
      </w:r>
      <w:r>
        <w:rPr>
          <w:rFonts w:hint="eastAsia" w:ascii="宋体" w:hAnsi="宋体" w:eastAsia="宋体" w:cs="宋体"/>
          <w:b w:val="0"/>
          <w:bCs w:val="0"/>
          <w:color w:val="auto"/>
          <w:sz w:val="40"/>
          <w:szCs w:val="40"/>
          <w:lang w:val="en-US" w:eastAsia="zh-CN"/>
        </w:rPr>
        <w:t>年</w:t>
      </w:r>
      <w:r>
        <w:rPr>
          <w:rFonts w:hint="eastAsia" w:ascii="宋体" w:hAnsi="宋体" w:cs="宋体"/>
          <w:b w:val="0"/>
          <w:bCs w:val="0"/>
          <w:color w:val="auto"/>
          <w:sz w:val="40"/>
          <w:szCs w:val="40"/>
          <w:lang w:val="en-US" w:eastAsia="zh-CN"/>
        </w:rPr>
        <w:t>8</w:t>
      </w:r>
      <w:r>
        <w:rPr>
          <w:rFonts w:hint="eastAsia" w:ascii="宋体" w:hAnsi="宋体" w:eastAsia="宋体" w:cs="宋体"/>
          <w:b w:val="0"/>
          <w:bCs w:val="0"/>
          <w:color w:val="auto"/>
          <w:sz w:val="40"/>
          <w:szCs w:val="40"/>
          <w:lang w:val="en-US" w:eastAsia="zh-CN"/>
        </w:rPr>
        <w:t>月</w:t>
      </w:r>
    </w:p>
    <w:p>
      <w:pPr>
        <w:ind w:right="300"/>
        <w:jc w:val="center"/>
        <w:rPr>
          <w:rFonts w:ascii="Times New Roman" w:hAnsi="Times New Roman" w:eastAsia="仿宋_GB2312" w:cs="Times New Roman"/>
          <w:color w:val="auto"/>
          <w:sz w:val="30"/>
          <w:szCs w:val="30"/>
        </w:rPr>
      </w:pPr>
    </w:p>
    <w:p>
      <w:pPr>
        <w:ind w:right="300"/>
        <w:rPr>
          <w:rFonts w:ascii="Times New Roman" w:hAnsi="Times New Roman" w:eastAsia="仿宋_GB2312" w:cs="Times New Roman"/>
          <w:color w:val="auto"/>
          <w:sz w:val="30"/>
          <w:szCs w:val="30"/>
        </w:rPr>
        <w:sectPr>
          <w:footerReference r:id="rId3" w:type="default"/>
          <w:pgSz w:w="11906" w:h="16838"/>
          <w:pgMar w:top="1440" w:right="1800" w:bottom="1440" w:left="1800" w:header="851" w:footer="992" w:gutter="0"/>
          <w:cols w:space="720" w:num="1"/>
          <w:docGrid w:type="lines" w:linePitch="312" w:charSpace="0"/>
        </w:sectPr>
      </w:pPr>
    </w:p>
    <w:p>
      <w:pPr>
        <w:jc w:val="left"/>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 xml:space="preserve">    一、项目信息</w:t>
      </w:r>
    </w:p>
    <w:p>
      <w:pPr>
        <w:ind w:firstLine="585"/>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项目名称：</w:t>
      </w:r>
      <w:r>
        <w:rPr>
          <w:rFonts w:hint="default" w:ascii="Times New Roman" w:hAnsi="Times New Roman" w:eastAsia="仿宋_GB2312" w:cs="Times New Roman"/>
          <w:color w:val="auto"/>
          <w:sz w:val="30"/>
          <w:szCs w:val="30"/>
          <w:highlight w:val="none"/>
          <w:lang w:val="en-US" w:eastAsia="zh-CN"/>
        </w:rPr>
        <w:t>经常项目外汇存放境外核准</w:t>
      </w:r>
      <w:r>
        <w:rPr>
          <w:rFonts w:ascii="Times New Roman" w:hAnsi="Times New Roman" w:eastAsia="仿宋_GB2312" w:cs="Times New Roman"/>
          <w:color w:val="auto"/>
          <w:sz w:val="30"/>
          <w:szCs w:val="30"/>
        </w:rPr>
        <w:t>；</w:t>
      </w:r>
    </w:p>
    <w:p>
      <w:pPr>
        <w:ind w:firstLine="585"/>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项目编号：</w:t>
      </w:r>
      <w:r>
        <w:rPr>
          <w:rFonts w:hint="default" w:ascii="Times New Roman" w:hAnsi="Times New Roman" w:eastAsia="仿宋_GB2312" w:cs="Times New Roman"/>
          <w:color w:val="auto"/>
          <w:sz w:val="30"/>
          <w:szCs w:val="30"/>
          <w:highlight w:val="none"/>
          <w:lang w:eastAsia="zh-CN"/>
        </w:rPr>
        <w:t>00017110300Y</w:t>
      </w:r>
      <w:r>
        <w:rPr>
          <w:rFonts w:ascii="Times New Roman" w:hAnsi="Times New Roman" w:eastAsia="仿宋_GB2312" w:cs="Times New Roman"/>
          <w:color w:val="auto"/>
          <w:sz w:val="30"/>
          <w:szCs w:val="30"/>
        </w:rPr>
        <w:t>；</w:t>
      </w:r>
    </w:p>
    <w:p>
      <w:pPr>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子项名称：</w:t>
      </w:r>
      <w:r>
        <w:rPr>
          <w:rFonts w:hint="default" w:ascii="Times New Roman" w:hAnsi="Times New Roman" w:eastAsia="仿宋_GB2312" w:cs="Times New Roman"/>
          <w:color w:val="auto"/>
          <w:sz w:val="30"/>
          <w:szCs w:val="30"/>
          <w:highlight w:val="none"/>
          <w:lang w:val="en-US" w:eastAsia="zh-CN"/>
        </w:rPr>
        <w:t>分局办理的货物贸易外汇存放境外核准</w:t>
      </w:r>
      <w:r>
        <w:rPr>
          <w:rFonts w:ascii="Times New Roman" w:hAnsi="Times New Roman" w:eastAsia="仿宋_GB2312" w:cs="Times New Roman"/>
          <w:color w:val="auto"/>
          <w:sz w:val="30"/>
          <w:szCs w:val="30"/>
        </w:rPr>
        <w:t>；</w:t>
      </w:r>
    </w:p>
    <w:p>
      <w:pPr>
        <w:ind w:firstLine="585"/>
        <w:jc w:val="left"/>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子项</w:t>
      </w:r>
      <w:r>
        <w:rPr>
          <w:rFonts w:ascii="Times New Roman" w:hAnsi="Times New Roman" w:eastAsia="仿宋_GB2312" w:cs="Times New Roman"/>
          <w:color w:val="auto"/>
          <w:sz w:val="30"/>
          <w:szCs w:val="30"/>
        </w:rPr>
        <w:t>编号：</w:t>
      </w:r>
      <w:r>
        <w:rPr>
          <w:rFonts w:hint="default" w:ascii="Times New Roman" w:hAnsi="Times New Roman" w:eastAsia="仿宋_GB2312" w:cs="Times New Roman"/>
          <w:color w:val="auto"/>
          <w:sz w:val="30"/>
          <w:szCs w:val="30"/>
          <w:highlight w:val="none"/>
          <w:lang w:eastAsia="zh-CN"/>
        </w:rPr>
        <w:t>00017110</w:t>
      </w:r>
      <w:r>
        <w:rPr>
          <w:rFonts w:hint="eastAsia" w:ascii="Times New Roman" w:hAnsi="Times New Roman" w:eastAsia="仿宋_GB2312" w:cs="Times New Roman"/>
          <w:color w:val="auto"/>
          <w:sz w:val="30"/>
          <w:szCs w:val="30"/>
          <w:highlight w:val="none"/>
          <w:lang w:val="en-US" w:eastAsia="zh-CN"/>
        </w:rPr>
        <w:t>3001</w:t>
      </w:r>
      <w:r>
        <w:rPr>
          <w:rFonts w:ascii="Times New Roman" w:hAnsi="Times New Roman" w:eastAsia="仿宋_GB2312" w:cs="Times New Roman"/>
          <w:color w:val="auto"/>
          <w:sz w:val="30"/>
          <w:szCs w:val="30"/>
        </w:rPr>
        <w:t>；</w:t>
      </w:r>
    </w:p>
    <w:p>
      <w:pPr>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审批类别：行政许可。</w:t>
      </w:r>
    </w:p>
    <w:p>
      <w:pPr>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二、适用范围</w:t>
      </w:r>
    </w:p>
    <w:p>
      <w:pPr>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本指南适用于“</w:t>
      </w:r>
      <w:r>
        <w:rPr>
          <w:rFonts w:hint="default" w:ascii="Times New Roman" w:hAnsi="Times New Roman" w:eastAsia="仿宋_GB2312" w:cs="Times New Roman"/>
          <w:color w:val="auto"/>
          <w:sz w:val="30"/>
          <w:szCs w:val="30"/>
          <w:highlight w:val="none"/>
          <w:lang w:val="en-US" w:eastAsia="zh-CN"/>
        </w:rPr>
        <w:t>货物贸易外汇存放境外核准</w:t>
      </w:r>
      <w:r>
        <w:rPr>
          <w:rFonts w:ascii="Times New Roman" w:hAnsi="Times New Roman" w:eastAsia="仿宋_GB2312" w:cs="Times New Roman"/>
          <w:color w:val="auto"/>
          <w:sz w:val="30"/>
          <w:szCs w:val="30"/>
        </w:rPr>
        <w:t>”的申请和办理。</w:t>
      </w:r>
    </w:p>
    <w:p>
      <w:pPr>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三、设定依据</w:t>
      </w:r>
    </w:p>
    <w:p>
      <w:pPr>
        <w:ind w:firstLine="585"/>
        <w:rPr>
          <w:rFonts w:hint="default" w:ascii="Times New Roman" w:hAnsi="Times New Roman" w:eastAsia="仿宋_GB2312" w:cs="Times New Roman"/>
          <w:color w:val="auto"/>
          <w:sz w:val="30"/>
          <w:szCs w:val="30"/>
          <w:lang w:eastAsia="zh-CN"/>
        </w:rPr>
      </w:pPr>
      <w:bookmarkStart w:id="0" w:name="_Toc2008274016"/>
      <w:r>
        <w:rPr>
          <w:rFonts w:hint="default" w:ascii="Times New Roman" w:hAnsi="Times New Roman" w:eastAsia="仿宋_GB2312" w:cs="Times New Roman"/>
          <w:color w:val="auto"/>
          <w:sz w:val="30"/>
          <w:szCs w:val="30"/>
          <w:lang w:val="en-US" w:eastAsia="zh-CN"/>
        </w:rPr>
        <w:t>（</w:t>
      </w:r>
      <w:r>
        <w:rPr>
          <w:rFonts w:hint="eastAsia" w:ascii="Times New Roman" w:hAnsi="Times New Roman" w:eastAsia="仿宋_GB2312" w:cs="Times New Roman"/>
          <w:color w:val="auto"/>
          <w:sz w:val="30"/>
          <w:szCs w:val="30"/>
          <w:lang w:val="en-US" w:eastAsia="zh-CN"/>
        </w:rPr>
        <w:t>一</w:t>
      </w:r>
      <w:r>
        <w:rPr>
          <w:rFonts w:hint="default" w:ascii="Times New Roman" w:hAnsi="Times New Roman" w:eastAsia="仿宋_GB2312" w:cs="Times New Roman"/>
          <w:color w:val="auto"/>
          <w:sz w:val="30"/>
          <w:szCs w:val="30"/>
          <w:lang w:val="en-US" w:eastAsia="zh-CN"/>
        </w:rPr>
        <w:t>）《中华人民共和国外汇管理条例》</w:t>
      </w:r>
      <w:bookmarkEnd w:id="0"/>
      <w:r>
        <w:rPr>
          <w:rFonts w:hint="default" w:ascii="Times New Roman" w:hAnsi="Times New Roman" w:eastAsia="仿宋_GB2312" w:cs="Times New Roman"/>
          <w:color w:val="auto"/>
          <w:sz w:val="30"/>
          <w:szCs w:val="30"/>
          <w:lang w:eastAsia="zh-CN"/>
        </w:rPr>
        <w:t>第九条</w:t>
      </w:r>
      <w:r>
        <w:rPr>
          <w:rFonts w:hint="eastAsia" w:ascii="Times New Roman" w:hAnsi="Times New Roman" w:eastAsia="仿宋_GB2312" w:cs="Times New Roman"/>
          <w:color w:val="auto"/>
          <w:sz w:val="30"/>
          <w:szCs w:val="30"/>
          <w:lang w:eastAsia="zh-CN"/>
        </w:rPr>
        <w:t>；</w:t>
      </w:r>
    </w:p>
    <w:p>
      <w:pPr>
        <w:ind w:firstLine="585"/>
        <w:rPr>
          <w:rFonts w:hint="default" w:ascii="Times New Roman" w:hAnsi="Times New Roman" w:eastAsia="仿宋_GB2312" w:cs="Times New Roman"/>
          <w:color w:val="auto"/>
          <w:sz w:val="30"/>
          <w:szCs w:val="30"/>
          <w:lang w:val="en-US" w:eastAsia="zh-CN"/>
        </w:rPr>
      </w:pPr>
      <w:bookmarkStart w:id="1" w:name="_Toc1828173139"/>
      <w:r>
        <w:rPr>
          <w:rFonts w:hint="default" w:ascii="Times New Roman" w:hAnsi="Times New Roman" w:eastAsia="仿宋_GB2312" w:cs="Times New Roman"/>
          <w:color w:val="auto"/>
          <w:sz w:val="30"/>
          <w:szCs w:val="30"/>
          <w:lang w:val="en-US" w:eastAsia="zh-CN"/>
        </w:rPr>
        <w:t>（</w:t>
      </w:r>
      <w:r>
        <w:rPr>
          <w:rFonts w:hint="eastAsia" w:ascii="Times New Roman" w:hAnsi="Times New Roman" w:eastAsia="仿宋_GB2312" w:cs="Times New Roman"/>
          <w:color w:val="auto"/>
          <w:sz w:val="30"/>
          <w:szCs w:val="30"/>
          <w:lang w:val="en-US" w:eastAsia="zh-CN"/>
        </w:rPr>
        <w:t>二</w:t>
      </w:r>
      <w:r>
        <w:rPr>
          <w:rFonts w:hint="default" w:ascii="Times New Roman" w:hAnsi="Times New Roman" w:eastAsia="仿宋_GB2312" w:cs="Times New Roman"/>
          <w:color w:val="auto"/>
          <w:sz w:val="30"/>
          <w:szCs w:val="30"/>
          <w:lang w:val="en-US" w:eastAsia="zh-CN"/>
        </w:rPr>
        <w:t>）</w:t>
      </w:r>
      <w:bookmarkEnd w:id="1"/>
      <w:r>
        <w:rPr>
          <w:rFonts w:hint="default" w:ascii="Times New Roman" w:hAnsi="Times New Roman" w:eastAsia="仿宋_GB2312" w:cs="Times New Roman"/>
          <w:color w:val="auto"/>
          <w:sz w:val="30"/>
          <w:szCs w:val="30"/>
          <w:lang w:val="en-US" w:eastAsia="zh-CN"/>
        </w:rPr>
        <w:t>《国务院对确需保留的行政审批项目设定行政许可的决定》附件第493项</w:t>
      </w:r>
      <w:r>
        <w:rPr>
          <w:rFonts w:hint="eastAsia" w:ascii="Times New Roman" w:hAnsi="Times New Roman" w:eastAsia="仿宋_GB2312" w:cs="Times New Roman"/>
          <w:color w:val="auto"/>
          <w:sz w:val="30"/>
          <w:szCs w:val="30"/>
          <w:lang w:val="en-US" w:eastAsia="zh-CN"/>
        </w:rPr>
        <w:t>。</w:t>
      </w:r>
    </w:p>
    <w:p>
      <w:pPr>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四、办理依据</w:t>
      </w:r>
    </w:p>
    <w:p>
      <w:pPr>
        <w:widowControl w:val="0"/>
        <w:numPr>
          <w:ilvl w:val="0"/>
          <w:numId w:val="0"/>
        </w:numPr>
        <w:wordWrap/>
        <w:adjustRightInd/>
        <w:snapToGrid/>
        <w:spacing w:line="540" w:lineRule="exact"/>
        <w:ind w:firstLine="600" w:firstLineChars="200"/>
        <w:textAlignment w:val="auto"/>
        <w:outlineLvl w:val="2"/>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（一）《经常项目外汇业务指引（2020年版）》（汇发〔2020〕14号文印发）第一百六十一条、第一百六十二条和第一百六十三条</w:t>
      </w:r>
      <w:r>
        <w:rPr>
          <w:rFonts w:hint="eastAsia" w:ascii="Times New Roman" w:hAnsi="Times New Roman" w:eastAsia="仿宋_GB2312" w:cs="Times New Roman"/>
          <w:color w:val="auto"/>
          <w:sz w:val="30"/>
          <w:szCs w:val="30"/>
          <w:highlight w:val="none"/>
          <w:lang w:val="en-US" w:eastAsia="zh-CN"/>
        </w:rPr>
        <w:t>；</w:t>
      </w:r>
    </w:p>
    <w:p>
      <w:pPr>
        <w:ind w:firstLine="600" w:firstLineChars="200"/>
        <w:rPr>
          <w:rFonts w:ascii="Times New Roman" w:hAnsi="Times New Roman" w:eastAsia="仿宋_GB2312" w:cs="Times New Roman"/>
          <w:color w:val="auto"/>
          <w:sz w:val="30"/>
          <w:szCs w:val="30"/>
          <w:lang w:bidi="zh-CN"/>
        </w:rPr>
      </w:pPr>
      <w:r>
        <w:rPr>
          <w:rFonts w:hint="default"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en-US" w:eastAsia="zh-CN"/>
        </w:rPr>
        <w:t>二</w:t>
      </w:r>
      <w:r>
        <w:rPr>
          <w:rFonts w:hint="default" w:ascii="Times New Roman" w:hAnsi="Times New Roman" w:eastAsia="仿宋_GB2312" w:cs="Times New Roman"/>
          <w:color w:val="auto"/>
          <w:sz w:val="30"/>
          <w:szCs w:val="30"/>
          <w:highlight w:val="none"/>
          <w:lang w:val="en-US" w:eastAsia="zh-CN"/>
        </w:rPr>
        <w:t>）《国家外汇管理局行政许可实施办法》（国家外汇管理局公告2021年第1号）全文</w:t>
      </w:r>
      <w:r>
        <w:rPr>
          <w:rFonts w:ascii="Times New Roman" w:hAnsi="Times New Roman" w:eastAsia="仿宋_GB2312" w:cs="Times New Roman"/>
          <w:color w:val="auto"/>
          <w:sz w:val="30"/>
          <w:szCs w:val="30"/>
          <w:lang w:bidi="zh-CN"/>
        </w:rPr>
        <w:t>。</w:t>
      </w:r>
    </w:p>
    <w:p>
      <w:pPr>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五、受理机构</w:t>
      </w:r>
    </w:p>
    <w:p>
      <w:pPr>
        <w:ind w:firstLine="600" w:firstLineChars="200"/>
        <w:rPr>
          <w:rFonts w:ascii="Times New Roman" w:hAnsi="Times New Roman" w:eastAsia="黑体" w:cs="Times New Roman"/>
          <w:color w:val="auto"/>
          <w:sz w:val="30"/>
          <w:szCs w:val="30"/>
        </w:rPr>
      </w:pPr>
      <w:r>
        <w:rPr>
          <w:rFonts w:ascii="Times New Roman" w:hAnsi="Times New Roman" w:eastAsia="仿宋_GB2312" w:cs="Times New Roman"/>
          <w:color w:val="auto"/>
          <w:sz w:val="30"/>
          <w:szCs w:val="30"/>
        </w:rPr>
        <w:t>申请人注册所在地国家外汇管理局分局。</w:t>
      </w:r>
    </w:p>
    <w:p>
      <w:pPr>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六、决定机构</w:t>
      </w:r>
    </w:p>
    <w:p>
      <w:pPr>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申请人注册所在地国家外汇管理局分局。</w:t>
      </w:r>
    </w:p>
    <w:p>
      <w:pPr>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七、审批数量</w:t>
      </w:r>
    </w:p>
    <w:p>
      <w:pPr>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无数量限制。</w:t>
      </w:r>
    </w:p>
    <w:p>
      <w:pPr>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八、办事条件</w:t>
      </w:r>
    </w:p>
    <w:p>
      <w:pPr>
        <w:ind w:firstLine="600" w:firstLineChars="200"/>
        <w:rPr>
          <w:rFonts w:hint="default" w:ascii="Times New Roman" w:hAnsi="Times New Roman" w:eastAsia="仿宋_GB2312" w:cs="Times New Roman"/>
          <w:color w:val="auto"/>
          <w:sz w:val="30"/>
          <w:szCs w:val="30"/>
          <w:lang w:val="en-US" w:eastAsia="zh-CN"/>
        </w:rPr>
      </w:pPr>
      <w:bookmarkStart w:id="2" w:name="_Toc58215015"/>
      <w:r>
        <w:rPr>
          <w:rFonts w:hint="default" w:ascii="Times New Roman" w:hAnsi="Times New Roman" w:eastAsia="仿宋_GB2312" w:cs="Times New Roman"/>
          <w:color w:val="auto"/>
          <w:sz w:val="30"/>
          <w:szCs w:val="30"/>
          <w:lang w:val="en-US" w:eastAsia="zh-CN"/>
        </w:rPr>
        <w:t>1.准予行政许可的条件</w:t>
      </w:r>
      <w:bookmarkEnd w:id="2"/>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（1）</w:t>
      </w:r>
      <w:r>
        <w:rPr>
          <w:rFonts w:hint="default" w:ascii="Times New Roman" w:hAnsi="Times New Roman" w:eastAsia="仿宋_GB2312" w:cs="Times New Roman"/>
          <w:color w:val="auto"/>
          <w:sz w:val="30"/>
          <w:szCs w:val="30"/>
          <w:lang w:val="en-US" w:eastAsia="zh-CN"/>
        </w:rPr>
        <w:t>分局办理的货物贸易外汇存放境外外汇账户新办</w:t>
      </w:r>
      <w:r>
        <w:rPr>
          <w:rFonts w:hint="eastAsia"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en-US" w:eastAsia="zh-CN"/>
        </w:rPr>
        <w:t>申请人为境内机构，货物出口收入来源真实合法，且在境外有符合相关规定的支付需求；近两年无违反外汇管理规定行为。</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lang w:val="en-US" w:eastAsia="zh-CN"/>
        </w:rPr>
        <w:t>分局办理的货物贸易外汇存放境外外汇账户</w:t>
      </w:r>
      <w:r>
        <w:rPr>
          <w:rFonts w:hint="default" w:ascii="Times New Roman" w:hAnsi="Times New Roman" w:eastAsia="仿宋_GB2312" w:cs="Times New Roman"/>
          <w:color w:val="auto"/>
          <w:sz w:val="30"/>
          <w:szCs w:val="30"/>
          <w:lang w:eastAsia="zh-CN"/>
        </w:rPr>
        <w:t>变更</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eastAsia="zh-CN"/>
        </w:rPr>
        <w:t>企业提高存放境外规模、境内企业集团调整参与成员公司。</w:t>
      </w:r>
    </w:p>
    <w:p>
      <w:pPr>
        <w:ind w:firstLine="600" w:firstLineChars="200"/>
        <w:rPr>
          <w:rFonts w:hint="default" w:ascii="Times New Roman" w:hAnsi="Times New Roman" w:eastAsia="仿宋_GB2312" w:cs="Times New Roman"/>
          <w:color w:val="auto"/>
          <w:sz w:val="30"/>
          <w:szCs w:val="30"/>
          <w:lang w:val="en-US" w:eastAsia="zh-CN"/>
        </w:rPr>
      </w:pPr>
      <w:bookmarkStart w:id="3" w:name="_Toc1963549143"/>
      <w:r>
        <w:rPr>
          <w:rFonts w:hint="default" w:ascii="Times New Roman" w:hAnsi="Times New Roman" w:eastAsia="仿宋_GB2312" w:cs="Times New Roman"/>
          <w:color w:val="auto"/>
          <w:sz w:val="30"/>
          <w:szCs w:val="30"/>
          <w:lang w:val="en-US" w:eastAsia="zh-CN"/>
        </w:rPr>
        <w:t>2.规定行政许可条件的依据</w:t>
      </w:r>
      <w:bookmarkEnd w:id="3"/>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（1）</w:t>
      </w:r>
      <w:r>
        <w:rPr>
          <w:rFonts w:hint="default" w:ascii="Times New Roman" w:hAnsi="Times New Roman" w:eastAsia="仿宋_GB2312" w:cs="Times New Roman"/>
          <w:color w:val="auto"/>
          <w:sz w:val="30"/>
          <w:szCs w:val="30"/>
          <w:lang w:val="en-US" w:eastAsia="zh-CN"/>
        </w:rPr>
        <w:t>分局办理的货物贸易外汇存放境外外汇账户新办</w:t>
      </w:r>
      <w:r>
        <w:rPr>
          <w:rFonts w:hint="eastAsia"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en-US" w:eastAsia="zh-CN"/>
        </w:rPr>
        <w:t>《经常项目外汇业务指引（2020年版）》（汇发〔2020〕14号文印发）第一百六十二条</w:t>
      </w:r>
      <w:r>
        <w:rPr>
          <w:rFonts w:hint="eastAsia"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en-US" w:eastAsia="zh-CN"/>
        </w:rPr>
        <w:t>存放境外应具备下列条件：（一）货物出口收入或服务贸易外汇收入来源真实合法，且在境外有符合相关规定的支付需求；（二）近两年无违反外汇管理规定行为……。</w:t>
      </w:r>
      <w:r>
        <w:rPr>
          <w:rFonts w:hint="eastAsia" w:ascii="Times New Roman" w:hAnsi="Times New Roman" w:eastAsia="仿宋_GB2312" w:cs="Times New Roman"/>
          <w:color w:val="auto"/>
          <w:sz w:val="30"/>
          <w:szCs w:val="30"/>
          <w:lang w:val="en-US" w:eastAsia="zh-CN"/>
        </w:rPr>
        <w:t>”</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lang w:val="en-US" w:eastAsia="zh-CN"/>
        </w:rPr>
        <w:t>分局办理的货物贸易外汇存放境外外汇账户变更</w:t>
      </w:r>
      <w:r>
        <w:rPr>
          <w:rFonts w:hint="eastAsia"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en-US" w:eastAsia="zh-CN"/>
        </w:rPr>
        <w:t>《经常项目外汇业务指引（2020年版）》（汇发〔2020〕14号文印发）第一百六十三条</w:t>
      </w:r>
      <w:r>
        <w:rPr>
          <w:rFonts w:hint="eastAsia"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en-US" w:eastAsia="zh-CN"/>
        </w:rPr>
        <w:t>……企业提高存放境外规模、境内企业集团调整参与成员公司的，应持书面申请向所在地外汇局申请变更登记……。</w:t>
      </w:r>
      <w:r>
        <w:rPr>
          <w:rFonts w:hint="eastAsia" w:ascii="Times New Roman" w:hAnsi="Times New Roman" w:eastAsia="仿宋_GB2312" w:cs="Times New Roman"/>
          <w:color w:val="auto"/>
          <w:sz w:val="30"/>
          <w:szCs w:val="30"/>
          <w:lang w:val="en-US" w:eastAsia="zh-CN"/>
        </w:rPr>
        <w:t>”</w:t>
      </w:r>
    </w:p>
    <w:p>
      <w:pPr>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九、申请材料</w:t>
      </w:r>
    </w:p>
    <w:p>
      <w:pPr>
        <w:ind w:firstLine="600" w:firstLineChars="200"/>
        <w:rPr>
          <w:rFonts w:hint="default" w:ascii="Times New Roman" w:hAnsi="Times New Roman" w:eastAsia="仿宋_GB2312" w:cs="Times New Roman"/>
          <w:color w:val="auto"/>
          <w:sz w:val="30"/>
          <w:szCs w:val="30"/>
          <w:lang w:val="en-US" w:eastAsia="zh-CN"/>
        </w:rPr>
      </w:pPr>
      <w:bookmarkStart w:id="4" w:name="_Toc220070293"/>
      <w:r>
        <w:rPr>
          <w:rFonts w:hint="eastAsia" w:ascii="Times New Roman" w:hAnsi="Times New Roman" w:eastAsia="仿宋_GB2312" w:cs="Times New Roman"/>
          <w:color w:val="auto"/>
          <w:sz w:val="30"/>
          <w:szCs w:val="30"/>
          <w:lang w:val="en-US" w:eastAsia="zh-CN"/>
        </w:rPr>
        <w:t>（一）</w:t>
      </w:r>
      <w:r>
        <w:rPr>
          <w:rFonts w:hint="default" w:ascii="Times New Roman" w:hAnsi="Times New Roman" w:eastAsia="仿宋_GB2312" w:cs="Times New Roman"/>
          <w:color w:val="auto"/>
          <w:sz w:val="30"/>
          <w:szCs w:val="30"/>
          <w:lang w:val="en-US" w:eastAsia="zh-CN"/>
        </w:rPr>
        <w:t>申请材料名称</w:t>
      </w:r>
      <w:bookmarkEnd w:id="4"/>
    </w:p>
    <w:p>
      <w:pPr>
        <w:ind w:firstLine="600" w:firstLineChars="200"/>
        <w:rPr>
          <w:rFonts w:hint="default" w:ascii="Times New Roman" w:hAnsi="Times New Roman" w:eastAsia="仿宋_GB2312" w:cs="Times New Roman"/>
          <w:color w:val="auto"/>
          <w:sz w:val="30"/>
          <w:szCs w:val="30"/>
          <w:lang w:val="en-US" w:eastAsia="zh-CN"/>
        </w:rPr>
      </w:pPr>
      <w:bookmarkStart w:id="5" w:name="_Toc1884519838"/>
      <w:r>
        <w:rPr>
          <w:rFonts w:hint="eastAsia" w:ascii="Times New Roman" w:hAnsi="Times New Roman" w:eastAsia="仿宋_GB2312" w:cs="Times New Roman"/>
          <w:color w:val="auto"/>
          <w:sz w:val="30"/>
          <w:szCs w:val="30"/>
          <w:lang w:val="en-US" w:eastAsia="zh-CN"/>
        </w:rPr>
        <w:t>1.</w:t>
      </w:r>
      <w:r>
        <w:rPr>
          <w:rFonts w:hint="default" w:ascii="Times New Roman" w:hAnsi="Times New Roman" w:eastAsia="仿宋_GB2312" w:cs="Times New Roman"/>
          <w:color w:val="auto"/>
          <w:sz w:val="30"/>
          <w:szCs w:val="30"/>
          <w:lang w:val="en-US" w:eastAsia="zh-CN"/>
        </w:rPr>
        <w:t>分局办理的货物贸易外汇存放境外外汇账户新办</w:t>
      </w:r>
      <w:r>
        <w:rPr>
          <w:rFonts w:hint="eastAsia" w:ascii="Times New Roman" w:hAnsi="Times New Roman" w:eastAsia="仿宋_GB2312" w:cs="Times New Roman"/>
          <w:color w:val="auto"/>
          <w:sz w:val="30"/>
          <w:szCs w:val="30"/>
          <w:lang w:val="en-US" w:eastAsia="zh-CN"/>
        </w:rPr>
        <w:t>：</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（1）</w:t>
      </w:r>
      <w:r>
        <w:rPr>
          <w:rFonts w:hint="default" w:ascii="Times New Roman" w:hAnsi="Times New Roman" w:eastAsia="仿宋_GB2312" w:cs="Times New Roman"/>
          <w:color w:val="auto"/>
          <w:sz w:val="30"/>
          <w:szCs w:val="30"/>
          <w:lang w:val="en-US" w:eastAsia="zh-CN"/>
        </w:rPr>
        <w:t>营业执照（统一社会信用代码证）原件或加盖公章的复印件1份。</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lang w:val="en-US" w:eastAsia="zh-CN"/>
        </w:rPr>
        <w:t>书面申请原件1份（书面申请由法定代表人或其授权人签字并加盖企业公章；内容包括但不限于：基本情况、业务开展情况、拟开户银行、使用期限、根据实际需要申请的存放境外资金规模及境内企业集团参与成员公司等）。</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（3）</w:t>
      </w:r>
      <w:r>
        <w:rPr>
          <w:rFonts w:hint="default" w:ascii="Times New Roman" w:hAnsi="Times New Roman" w:eastAsia="仿宋_GB2312" w:cs="Times New Roman"/>
          <w:color w:val="auto"/>
          <w:sz w:val="30"/>
          <w:szCs w:val="30"/>
          <w:lang w:val="en-US" w:eastAsia="zh-CN"/>
        </w:rPr>
        <w:t>《出口收入存放境外登记表》原件1份。</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lang w:val="en-US" w:eastAsia="zh-CN"/>
        </w:rPr>
        <w:t>分局办理的货物贸易外汇存放境外外汇账户变更</w:t>
      </w:r>
      <w:r>
        <w:rPr>
          <w:rFonts w:hint="eastAsia" w:ascii="Times New Roman" w:hAnsi="Times New Roman" w:eastAsia="仿宋_GB2312" w:cs="Times New Roman"/>
          <w:color w:val="auto"/>
          <w:sz w:val="30"/>
          <w:szCs w:val="30"/>
          <w:lang w:val="en-US" w:eastAsia="zh-CN"/>
        </w:rPr>
        <w:t>：</w:t>
      </w:r>
    </w:p>
    <w:p>
      <w:pPr>
        <w:ind w:firstLine="600" w:firstLineChars="200"/>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书面申请原件1份（书面申请由法定代表人或其授权人签字并加盖企业公章；对于调整参与成员公司的，需说明新增或减少的成员公司名称、新增成员公司的注册地址、与主办企业的关系、上年度进出口及其收付资金规模以及近两年内有无违反外汇管理规定行为。境内企业集团应由主办企业申请变更登记）。</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（二）</w:t>
      </w:r>
      <w:r>
        <w:rPr>
          <w:rFonts w:hint="default" w:ascii="Times New Roman" w:hAnsi="Times New Roman" w:eastAsia="仿宋_GB2312" w:cs="Times New Roman"/>
          <w:color w:val="auto"/>
          <w:sz w:val="30"/>
          <w:szCs w:val="30"/>
          <w:lang w:val="en-US" w:eastAsia="zh-CN"/>
        </w:rPr>
        <w:t>规定申请材料的依据</w:t>
      </w:r>
      <w:bookmarkEnd w:id="5"/>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1.</w:t>
      </w:r>
      <w:r>
        <w:rPr>
          <w:rFonts w:hint="default" w:ascii="Times New Roman" w:hAnsi="Times New Roman" w:eastAsia="仿宋_GB2312" w:cs="Times New Roman"/>
          <w:color w:val="auto"/>
          <w:sz w:val="30"/>
          <w:szCs w:val="30"/>
          <w:lang w:val="en-US" w:eastAsia="zh-CN"/>
        </w:rPr>
        <w:t>分局办理的货物贸易外汇存放境外外汇账户新办</w:t>
      </w:r>
      <w:r>
        <w:rPr>
          <w:rFonts w:hint="eastAsia" w:ascii="Times New Roman" w:hAnsi="Times New Roman" w:eastAsia="仿宋_GB2312" w:cs="Times New Roman"/>
          <w:color w:val="auto"/>
          <w:sz w:val="30"/>
          <w:szCs w:val="30"/>
          <w:lang w:val="en-US" w:eastAsia="zh-CN"/>
        </w:rPr>
        <w:t>：</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（1）</w:t>
      </w:r>
      <w:r>
        <w:rPr>
          <w:rFonts w:hint="default" w:ascii="Times New Roman" w:hAnsi="Times New Roman" w:eastAsia="仿宋_GB2312" w:cs="Times New Roman"/>
          <w:color w:val="auto"/>
          <w:sz w:val="30"/>
          <w:szCs w:val="30"/>
          <w:lang w:val="en-US" w:eastAsia="zh-CN"/>
        </w:rPr>
        <w:t>《国家外汇管理局行政许可实施办法》（国家外汇管理局公告2021年第1号）第八条</w:t>
      </w:r>
      <w:r>
        <w:rPr>
          <w:rFonts w:hint="eastAsia"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en-US" w:eastAsia="zh-CN"/>
        </w:rPr>
        <w:t>……申请人为机构的，应出示统一社会信用代码证或营业执照原件，或加盖公章的上述证件复印件……。</w:t>
      </w:r>
      <w:r>
        <w:rPr>
          <w:rFonts w:hint="eastAsia" w:ascii="Times New Roman" w:hAnsi="Times New Roman" w:eastAsia="仿宋_GB2312" w:cs="Times New Roman"/>
          <w:color w:val="auto"/>
          <w:sz w:val="30"/>
          <w:szCs w:val="30"/>
          <w:lang w:val="en-US" w:eastAsia="zh-CN"/>
        </w:rPr>
        <w:t>”</w:t>
      </w:r>
    </w:p>
    <w:p>
      <w:pPr>
        <w:ind w:firstLine="600" w:firstLineChars="200"/>
        <w:rPr>
          <w:rFonts w:hint="default"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lang w:val="en-US" w:eastAsia="zh-CN"/>
        </w:rPr>
        <w:t>《经常项目外汇业务指引（2020年版）》（汇发〔2020〕14号文印发）第一百六十三条</w:t>
      </w:r>
      <w:r>
        <w:rPr>
          <w:rFonts w:hint="eastAsia"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en-US" w:eastAsia="zh-CN"/>
        </w:rPr>
        <w:t>境内机构开立境外账户，应凭下列材料到所在地外汇局办理境外开户登记：（一）法定代表人或其授权人签字并加盖企业公章的书面申请，申请书内容包括但不限于：基本情况、业务开展情况、拟开户银行、使用期限、根据实际需要申请的存放境外资金规模等；（二）货物贸易出口收入存放境外企业还需提供《出口收入存放境外登记表》。</w:t>
      </w:r>
      <w:r>
        <w:rPr>
          <w:rFonts w:hint="default"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eastAsia="zh-CN"/>
        </w:rPr>
        <w:t>”</w:t>
      </w:r>
    </w:p>
    <w:p>
      <w:pPr>
        <w:ind w:firstLine="600" w:firstLineChars="200"/>
        <w:rPr>
          <w:rFonts w:ascii="Times New Roman" w:hAnsi="Times New Roman" w:eastAsia="黑体" w:cs="Times New Roman"/>
          <w:color w:val="auto"/>
          <w:sz w:val="30"/>
          <w:szCs w:val="30"/>
        </w:rPr>
      </w:pPr>
      <w:r>
        <w:rPr>
          <w:rFonts w:hint="eastAsia"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lang w:val="en-US" w:eastAsia="zh-CN"/>
        </w:rPr>
        <w:t>分局办理的货物贸易外汇存放境外外汇账户</w:t>
      </w:r>
      <w:r>
        <w:rPr>
          <w:rFonts w:hint="default" w:ascii="Times New Roman" w:hAnsi="Times New Roman" w:eastAsia="仿宋_GB2312" w:cs="Times New Roman"/>
          <w:color w:val="auto"/>
          <w:sz w:val="30"/>
          <w:szCs w:val="30"/>
          <w:lang w:eastAsia="zh-CN"/>
        </w:rPr>
        <w:t>变更</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《经常项目外汇业务指引（2020年版）》（汇发〔2020〕14号文印发）第一百六十三条</w:t>
      </w:r>
      <w:r>
        <w:rPr>
          <w:rFonts w:hint="eastAsia"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eastAsia="zh-CN"/>
        </w:rPr>
        <w:t>……企业提高存放境外规模、境内企业集团调整参与成员公司的，应持书面申请书向所在地外汇局申请变更登记。</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eastAsia="zh-CN"/>
        </w:rPr>
        <w:br w:type="textWrapping"/>
      </w:r>
      <w:r>
        <w:rPr>
          <w:rFonts w:hint="eastAsia" w:ascii="Times New Roman" w:hAnsi="Times New Roman" w:eastAsia="黑体" w:cs="Times New Roman"/>
          <w:color w:val="auto"/>
          <w:sz w:val="30"/>
          <w:szCs w:val="30"/>
          <w:lang w:val="en-US" w:eastAsia="zh-CN"/>
        </w:rPr>
        <w:t xml:space="preserve">    </w:t>
      </w:r>
      <w:r>
        <w:rPr>
          <w:rFonts w:ascii="Times New Roman" w:hAnsi="Times New Roman" w:eastAsia="黑体" w:cs="Times New Roman"/>
          <w:color w:val="auto"/>
          <w:sz w:val="30"/>
          <w:szCs w:val="30"/>
        </w:rPr>
        <w:t>十、申请接受</w:t>
      </w:r>
    </w:p>
    <w:p>
      <w:pPr>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申请人可通过国家外汇管理局分局</w:t>
      </w:r>
      <w:bookmarkStart w:id="6" w:name="_GoBack"/>
      <w:bookmarkEnd w:id="6"/>
      <w:r>
        <w:rPr>
          <w:rFonts w:ascii="Times New Roman" w:hAnsi="Times New Roman" w:eastAsia="仿宋_GB2312" w:cs="Times New Roman"/>
          <w:color w:val="auto"/>
          <w:sz w:val="30"/>
          <w:szCs w:val="30"/>
        </w:rPr>
        <w:t>提交材料。</w:t>
      </w:r>
    </w:p>
    <w:p>
      <w:pPr>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十一、基本办理流程</w:t>
      </w:r>
    </w:p>
    <w:p>
      <w:pPr>
        <w:ind w:firstLine="600"/>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（一）申请人提交申请；</w:t>
      </w:r>
    </w:p>
    <w:p>
      <w:pPr>
        <w:ind w:firstLine="600"/>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（二）决定是否予以受理；</w:t>
      </w:r>
    </w:p>
    <w:p>
      <w:pPr>
        <w:ind w:firstLine="600"/>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 xml:space="preserve">（三）不属于本机构受理范围的，出具不予受理行政许可通知书； </w:t>
      </w:r>
    </w:p>
    <w:p>
      <w:pPr>
        <w:ind w:firstLine="600"/>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（四）属于本机构受理范围的，审核申请材料是否齐全或符合法定形式；材料不全或不符合法定形式的，一次性告知补正材料，并出具行政许可补正通知书；</w:t>
      </w:r>
    </w:p>
    <w:p>
      <w:pPr>
        <w:ind w:firstLine="600"/>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（五）材料齐全的，依法予以受理，并出具行政许可受理通知书；</w:t>
      </w:r>
    </w:p>
    <w:p>
      <w:pPr>
        <w:ind w:firstLine="600"/>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（六）不予许可的，做出不予许可的行政许可书面决定并说明理由；予以许可的，出具贸易外汇业务登记表或备案通知书。</w:t>
      </w:r>
    </w:p>
    <w:p>
      <w:pPr>
        <w:tabs>
          <w:tab w:val="left" w:pos="615"/>
        </w:tabs>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十二、办理方式</w:t>
      </w:r>
    </w:p>
    <w:p>
      <w:pPr>
        <w:tabs>
          <w:tab w:val="left" w:pos="615"/>
        </w:tabs>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一般程序：申请、受理、审查、决定。</w:t>
      </w:r>
    </w:p>
    <w:p>
      <w:pPr>
        <w:tabs>
          <w:tab w:val="left" w:pos="615"/>
        </w:tabs>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 xml:space="preserve">    十三、审批时限</w:t>
      </w:r>
    </w:p>
    <w:p>
      <w:pPr>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20个工作日。</w:t>
      </w:r>
    </w:p>
    <w:p>
      <w:pPr>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十四、审批收费依据及标准</w:t>
      </w:r>
    </w:p>
    <w:p>
      <w:pPr>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不收费。</w:t>
      </w:r>
    </w:p>
    <w:p>
      <w:pPr>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十五、审批结果</w:t>
      </w:r>
    </w:p>
    <w:p>
      <w:pPr>
        <w:ind w:firstLine="600"/>
        <w:rPr>
          <w:rFonts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val="en-US" w:eastAsia="zh-CN"/>
        </w:rPr>
        <w:t>《出口收入存放境外登记表》</w:t>
      </w:r>
      <w:r>
        <w:rPr>
          <w:rFonts w:ascii="Times New Roman" w:hAnsi="Times New Roman" w:eastAsia="仿宋_GB2312" w:cs="Times New Roman"/>
          <w:color w:val="auto"/>
          <w:sz w:val="30"/>
          <w:szCs w:val="30"/>
        </w:rPr>
        <w:t>。</w:t>
      </w:r>
    </w:p>
    <w:p>
      <w:pPr>
        <w:ind w:firstLine="6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十六、结果送达</w:t>
      </w:r>
    </w:p>
    <w:p>
      <w:pPr>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通过电话等方式通知申请企业，并通过现场领取或邮寄等方式将结果送达。</w:t>
      </w:r>
    </w:p>
    <w:p>
      <w:pPr>
        <w:ind w:firstLine="6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十七、申请人权利和义务</w:t>
      </w:r>
    </w:p>
    <w:p>
      <w:pPr>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申请人有权依法提出行政审批申请，依法进行投诉、举报、复议、诉讼等。申请人有义务保证申请材料完整、真实、准确，获批后合法合规办理相关业务。</w:t>
      </w:r>
    </w:p>
    <w:p>
      <w:pPr>
        <w:ind w:firstLine="600"/>
        <w:rPr>
          <w:rFonts w:ascii="Times New Roman" w:hAnsi="Times New Roman" w:eastAsia="仿宋_GB2312" w:cs="Times New Roman"/>
          <w:color w:val="auto"/>
          <w:sz w:val="30"/>
          <w:szCs w:val="30"/>
        </w:rPr>
      </w:pPr>
      <w:r>
        <w:rPr>
          <w:rFonts w:ascii="Times New Roman" w:hAnsi="Times New Roman" w:eastAsia="黑体" w:cs="Times New Roman"/>
          <w:color w:val="auto"/>
          <w:sz w:val="30"/>
          <w:szCs w:val="30"/>
        </w:rPr>
        <w:t>十八、咨询途径、监督和投诉、公开查询等由所在地分局办理</w:t>
      </w:r>
    </w:p>
    <w:p>
      <w:pPr>
        <w:adjustRightInd w:val="0"/>
        <w:snapToGrid w:val="0"/>
        <w:spacing w:line="360" w:lineRule="auto"/>
        <w:ind w:firstLine="601"/>
        <w:rPr>
          <w:rFonts w:hint="eastAsia" w:ascii="Times New Roman" w:hAnsi="Times New Roman" w:eastAsia="仿宋_GB2312" w:cs="Times New Roman"/>
          <w:b/>
          <w:bCs/>
          <w:color w:val="auto"/>
          <w:sz w:val="30"/>
          <w:szCs w:val="30"/>
          <w:lang w:val="en-US" w:eastAsia="zh-CN"/>
        </w:rPr>
      </w:pPr>
      <w:r>
        <w:rPr>
          <w:rFonts w:hint="eastAsia" w:ascii="Times New Roman" w:hAnsi="Times New Roman" w:eastAsia="仿宋_GB2312" w:cs="Times New Roman"/>
          <w:b/>
          <w:bCs/>
          <w:color w:val="auto"/>
          <w:sz w:val="30"/>
          <w:szCs w:val="30"/>
          <w:lang w:val="en-US" w:eastAsia="zh-CN"/>
        </w:rPr>
        <w:t>1.国家外汇管理局广西壮族自治区分局</w:t>
      </w:r>
    </w:p>
    <w:p>
      <w:pPr>
        <w:adjustRightInd w:val="0"/>
        <w:snapToGrid w:val="0"/>
        <w:spacing w:line="360" w:lineRule="auto"/>
        <w:ind w:firstLine="601"/>
        <w:rPr>
          <w:rFonts w:hint="eastAsia" w:ascii="Times New Roman" w:hAnsi="Times New Roman" w:eastAsia="仿宋_GB2312" w:cs="Times New Roman"/>
          <w:b/>
          <w:bCs/>
          <w:color w:val="auto"/>
          <w:sz w:val="30"/>
          <w:szCs w:val="30"/>
          <w:lang w:val="en-US" w:eastAsia="zh-CN"/>
        </w:rPr>
      </w:pPr>
      <w:r>
        <w:rPr>
          <w:rFonts w:hint="eastAsia" w:ascii="Times New Roman" w:hAnsi="Times New Roman" w:eastAsia="仿宋_GB2312" w:cs="Times New Roman"/>
          <w:b/>
          <w:bCs/>
          <w:color w:val="auto"/>
          <w:sz w:val="30"/>
          <w:szCs w:val="30"/>
          <w:lang w:val="en-US" w:eastAsia="zh-CN"/>
        </w:rPr>
        <w:t>（1）咨询途径</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现场咨询：广西南宁市青秀区滨湖路58号中国人民银行广西壮族自治区分行一楼8号柜台。</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电话咨询：0771-6111201</w:t>
      </w:r>
    </w:p>
    <w:p>
      <w:pPr>
        <w:adjustRightInd w:val="0"/>
        <w:snapToGrid w:val="0"/>
        <w:spacing w:line="360" w:lineRule="auto"/>
        <w:ind w:firstLine="601"/>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网站咨询：</w:t>
      </w:r>
      <w:r>
        <w:rPr>
          <w:rFonts w:hint="eastAsia" w:ascii="Times New Roman" w:hAnsi="Times New Roman" w:eastAsia="仿宋_GB2312" w:cs="Times New Roman"/>
          <w:color w:val="auto"/>
          <w:sz w:val="30"/>
          <w:szCs w:val="30"/>
          <w:lang w:eastAsia="zh-CN"/>
        </w:rPr>
        <w:t>国家外汇管理局广西壮族自治区分局官方网站（www.safe.gov.cn</w:t>
      </w:r>
      <w:r>
        <w:rPr>
          <w:rFonts w:hint="eastAsia" w:ascii="Times New Roman" w:hAnsi="Times New Roman" w:eastAsia="仿宋_GB2312" w:cs="Times New Roman"/>
          <w:color w:val="auto"/>
          <w:sz w:val="30"/>
          <w:szCs w:val="30"/>
          <w:lang w:val="en-US" w:eastAsia="zh-CN"/>
        </w:rPr>
        <w:t>/guangxi/）</w:t>
      </w:r>
      <w:r>
        <w:rPr>
          <w:rFonts w:hint="eastAsia" w:ascii="Times New Roman" w:hAnsi="Times New Roman" w:eastAsia="仿宋_GB2312" w:cs="Times New Roman"/>
          <w:color w:val="auto"/>
          <w:sz w:val="30"/>
          <w:szCs w:val="30"/>
          <w:lang w:eastAsia="zh-CN"/>
        </w:rPr>
        <w:t>咨询反馈栏目。</w:t>
      </w:r>
    </w:p>
    <w:p>
      <w:pPr>
        <w:adjustRightInd w:val="0"/>
        <w:snapToGrid w:val="0"/>
        <w:spacing w:line="360" w:lineRule="auto"/>
        <w:ind w:firstLine="601"/>
        <w:rPr>
          <w:rFonts w:hint="eastAsia" w:ascii="Times New Roman" w:hAnsi="Times New Roman" w:eastAsia="仿宋_GB2312" w:cs="Times New Roman"/>
          <w:b/>
          <w:bCs/>
          <w:color w:val="auto"/>
          <w:sz w:val="30"/>
          <w:szCs w:val="30"/>
          <w:lang w:val="en-US" w:eastAsia="zh-CN"/>
        </w:rPr>
      </w:pPr>
      <w:r>
        <w:rPr>
          <w:rFonts w:hint="eastAsia" w:ascii="Times New Roman" w:hAnsi="Times New Roman" w:eastAsia="仿宋_GB2312" w:cs="Times New Roman"/>
          <w:b/>
          <w:bCs/>
          <w:color w:val="auto"/>
          <w:sz w:val="30"/>
          <w:szCs w:val="30"/>
          <w:lang w:val="en-US" w:eastAsia="zh-CN"/>
        </w:rPr>
        <w:t>（2）监督和投诉途径</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电话投诉：0771-6111357</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电子邮箱投诉：gxwgwg@163.com</w:t>
      </w:r>
    </w:p>
    <w:p>
      <w:pPr>
        <w:adjustRightInd w:val="0"/>
        <w:snapToGrid w:val="0"/>
        <w:spacing w:line="360" w:lineRule="auto"/>
        <w:ind w:firstLine="601"/>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网站投诉：</w:t>
      </w:r>
      <w:r>
        <w:rPr>
          <w:rFonts w:hint="eastAsia" w:ascii="Times New Roman" w:hAnsi="Times New Roman" w:eastAsia="仿宋_GB2312" w:cs="Times New Roman"/>
          <w:color w:val="auto"/>
          <w:sz w:val="30"/>
          <w:szCs w:val="30"/>
          <w:lang w:eastAsia="zh-CN"/>
        </w:rPr>
        <w:t>国家外汇管理局广西壮族自治区分局官方网站（www.safe.gov.cn</w:t>
      </w:r>
      <w:r>
        <w:rPr>
          <w:rFonts w:hint="eastAsia" w:ascii="Times New Roman" w:hAnsi="Times New Roman" w:eastAsia="仿宋_GB2312" w:cs="Times New Roman"/>
          <w:color w:val="auto"/>
          <w:sz w:val="30"/>
          <w:szCs w:val="30"/>
          <w:lang w:val="en-US" w:eastAsia="zh-CN"/>
        </w:rPr>
        <w:t>/guangxi/）</w:t>
      </w:r>
      <w:r>
        <w:rPr>
          <w:rFonts w:hint="eastAsia" w:ascii="Times New Roman" w:hAnsi="Times New Roman" w:eastAsia="仿宋_GB2312" w:cs="Times New Roman"/>
          <w:color w:val="auto"/>
          <w:sz w:val="30"/>
          <w:szCs w:val="30"/>
          <w:lang w:eastAsia="zh-CN"/>
        </w:rPr>
        <w:t>咨询反馈栏目。</w:t>
      </w:r>
    </w:p>
    <w:p>
      <w:pPr>
        <w:adjustRightInd w:val="0"/>
        <w:snapToGrid w:val="0"/>
        <w:spacing w:line="360" w:lineRule="auto"/>
        <w:ind w:firstLine="601"/>
        <w:rPr>
          <w:rFonts w:hint="eastAsia" w:ascii="Times New Roman" w:hAnsi="Times New Roman" w:eastAsia="仿宋_GB2312" w:cs="Times New Roman"/>
          <w:b/>
          <w:bCs/>
          <w:color w:val="auto"/>
          <w:sz w:val="30"/>
          <w:szCs w:val="30"/>
          <w:lang w:val="en-US" w:eastAsia="zh-CN"/>
        </w:rPr>
      </w:pPr>
      <w:r>
        <w:rPr>
          <w:rFonts w:hint="eastAsia" w:ascii="Times New Roman" w:hAnsi="Times New Roman" w:eastAsia="仿宋_GB2312" w:cs="Times New Roman"/>
          <w:b/>
          <w:bCs/>
          <w:color w:val="auto"/>
          <w:sz w:val="30"/>
          <w:szCs w:val="30"/>
          <w:lang w:val="en-US" w:eastAsia="zh-CN"/>
        </w:rPr>
        <w:t>（3）</w:t>
      </w:r>
      <w:r>
        <w:rPr>
          <w:rFonts w:hint="eastAsia" w:ascii="Times New Roman" w:hAnsi="Times New Roman" w:eastAsia="仿宋_GB2312" w:cs="Times New Roman"/>
          <w:b/>
          <w:bCs/>
          <w:color w:val="auto"/>
          <w:sz w:val="30"/>
          <w:szCs w:val="30"/>
          <w:lang w:eastAsia="zh-CN"/>
        </w:rPr>
        <w:t>公开</w:t>
      </w:r>
      <w:r>
        <w:rPr>
          <w:rFonts w:hint="eastAsia" w:ascii="Times New Roman" w:hAnsi="Times New Roman" w:eastAsia="仿宋_GB2312" w:cs="Times New Roman"/>
          <w:b/>
          <w:bCs/>
          <w:color w:val="auto"/>
          <w:sz w:val="30"/>
          <w:szCs w:val="30"/>
        </w:rPr>
        <w:t>查询</w:t>
      </w:r>
      <w:r>
        <w:rPr>
          <w:rFonts w:hint="eastAsia" w:ascii="Times New Roman" w:hAnsi="Times New Roman" w:eastAsia="仿宋_GB2312" w:cs="Times New Roman"/>
          <w:b/>
          <w:bCs/>
          <w:color w:val="auto"/>
          <w:sz w:val="30"/>
          <w:szCs w:val="30"/>
          <w:lang w:eastAsia="zh-CN"/>
        </w:rPr>
        <w:t>途径</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现场查询：广西南宁市青秀区滨湖路58号中国人民银行广西壮族自治区分行一楼8号柜台。</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电话查询：0771-6111201</w:t>
      </w:r>
    </w:p>
    <w:p>
      <w:pPr>
        <w:ind w:firstLine="6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十九、事项审查类型</w:t>
      </w:r>
    </w:p>
    <w:p>
      <w:pPr>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前审后批。</w:t>
      </w:r>
    </w:p>
    <w:p>
      <w:pPr>
        <w:ind w:firstLine="6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二十、办公地址和时间</w:t>
      </w:r>
    </w:p>
    <w:p>
      <w:pPr>
        <w:adjustRightInd w:val="0"/>
        <w:snapToGrid w:val="0"/>
        <w:spacing w:line="360" w:lineRule="auto"/>
        <w:ind w:firstLine="602" w:firstLineChars="200"/>
        <w:rPr>
          <w:rFonts w:hint="eastAsia" w:ascii="仿宋_GB2312" w:hAnsi="Times New Roman" w:eastAsia="仿宋_GB2312"/>
          <w:b/>
          <w:bCs/>
          <w:color w:val="auto"/>
          <w:sz w:val="30"/>
          <w:szCs w:val="30"/>
        </w:rPr>
      </w:pPr>
      <w:r>
        <w:rPr>
          <w:rFonts w:hint="eastAsia" w:ascii="仿宋_GB2312" w:hAnsi="Times New Roman" w:eastAsia="仿宋_GB2312"/>
          <w:b/>
          <w:bCs/>
          <w:color w:val="auto"/>
          <w:sz w:val="30"/>
          <w:szCs w:val="30"/>
          <w:lang w:val="en-US" w:eastAsia="zh-CN"/>
        </w:rPr>
        <w:t>1.</w:t>
      </w:r>
      <w:r>
        <w:rPr>
          <w:rFonts w:hint="eastAsia" w:ascii="仿宋_GB2312" w:hAnsi="Times New Roman" w:eastAsia="仿宋_GB2312"/>
          <w:b/>
          <w:bCs/>
          <w:color w:val="auto"/>
          <w:sz w:val="30"/>
          <w:szCs w:val="30"/>
        </w:rPr>
        <w:t>国家外汇管理局广西壮族自治区分局</w:t>
      </w:r>
    </w:p>
    <w:p>
      <w:pPr>
        <w:adjustRightInd w:val="0"/>
        <w:snapToGrid w:val="0"/>
        <w:spacing w:line="360" w:lineRule="auto"/>
        <w:rPr>
          <w:rFonts w:hint="eastAsia" w:ascii="仿宋_GB2312" w:hAnsi="Times New Roman" w:eastAsia="仿宋_GB2312"/>
          <w:color w:val="auto"/>
          <w:sz w:val="30"/>
          <w:szCs w:val="30"/>
        </w:rPr>
      </w:pPr>
      <w:r>
        <w:rPr>
          <w:rFonts w:hint="eastAsia" w:ascii="仿宋_GB2312" w:hAnsi="Times New Roman" w:eastAsia="仿宋_GB2312"/>
          <w:color w:val="auto"/>
          <w:sz w:val="30"/>
          <w:szCs w:val="30"/>
          <w:lang w:val="en-US" w:eastAsia="zh-CN"/>
        </w:rPr>
        <w:t xml:space="preserve">    办公</w:t>
      </w:r>
      <w:r>
        <w:rPr>
          <w:rFonts w:hint="eastAsia" w:ascii="仿宋_GB2312" w:hAnsi="Times New Roman" w:eastAsia="仿宋_GB2312"/>
          <w:color w:val="auto"/>
          <w:sz w:val="30"/>
          <w:szCs w:val="30"/>
        </w:rPr>
        <w:t>地址：广西南宁市青秀区滨湖路58号</w:t>
      </w:r>
      <w:r>
        <w:rPr>
          <w:rFonts w:hint="eastAsia" w:ascii="仿宋_GB2312" w:hAnsi="Times New Roman" w:eastAsia="仿宋_GB2312"/>
          <w:color w:val="auto"/>
          <w:sz w:val="30"/>
          <w:szCs w:val="30"/>
          <w:lang w:eastAsia="zh-CN"/>
        </w:rPr>
        <w:t>中国人民银行广西壮族自治区分行</w:t>
      </w:r>
      <w:r>
        <w:rPr>
          <w:rFonts w:hint="eastAsia" w:ascii="Times New Roman" w:hAnsi="Times New Roman" w:eastAsia="仿宋_GB2312" w:cs="Times New Roman"/>
          <w:color w:val="auto"/>
          <w:sz w:val="30"/>
          <w:szCs w:val="30"/>
          <w:lang w:val="en-US" w:eastAsia="zh-CN"/>
        </w:rPr>
        <w:t>一楼8号柜台。</w:t>
      </w:r>
    </w:p>
    <w:p>
      <w:pPr>
        <w:adjustRightInd w:val="0"/>
        <w:snapToGrid w:val="0"/>
        <w:spacing w:line="360" w:lineRule="auto"/>
        <w:ind w:firstLine="600" w:firstLineChars="200"/>
        <w:rPr>
          <w:rFonts w:hint="eastAsia" w:ascii="仿宋_GB2312" w:hAnsi="Times New Roman" w:eastAsia="仿宋_GB2312"/>
          <w:color w:val="auto"/>
          <w:sz w:val="30"/>
          <w:szCs w:val="30"/>
        </w:rPr>
      </w:pPr>
      <w:r>
        <w:rPr>
          <w:rFonts w:hint="eastAsia" w:ascii="仿宋_GB2312" w:hAnsi="Times New Roman" w:eastAsia="仿宋_GB2312"/>
          <w:color w:val="auto"/>
          <w:sz w:val="30"/>
          <w:szCs w:val="30"/>
          <w:lang w:eastAsia="zh-CN"/>
        </w:rPr>
        <w:t>办公</w:t>
      </w:r>
      <w:r>
        <w:rPr>
          <w:rFonts w:hint="eastAsia" w:ascii="仿宋_GB2312" w:hAnsi="Times New Roman" w:eastAsia="仿宋_GB2312"/>
          <w:color w:val="auto"/>
          <w:sz w:val="30"/>
          <w:szCs w:val="30"/>
        </w:rPr>
        <w:t>时间：工作日，上午：08:30-12:00，下午：</w:t>
      </w:r>
      <w:r>
        <w:rPr>
          <w:rFonts w:hint="eastAsia" w:ascii="仿宋_GB2312" w:hAnsi="Times New Roman" w:eastAsia="仿宋_GB2312"/>
          <w:color w:val="auto"/>
          <w:sz w:val="30"/>
          <w:szCs w:val="30"/>
          <w:lang w:val="en-US" w:eastAsia="zh-CN"/>
        </w:rPr>
        <w:t>14</w:t>
      </w:r>
      <w:r>
        <w:rPr>
          <w:rFonts w:hint="eastAsia" w:ascii="仿宋_GB2312" w:hAnsi="Times New Roman" w:eastAsia="仿宋_GB2312"/>
          <w:color w:val="auto"/>
          <w:sz w:val="30"/>
          <w:szCs w:val="30"/>
        </w:rPr>
        <w:t>:30-</w:t>
      </w:r>
      <w:r>
        <w:rPr>
          <w:rFonts w:hint="eastAsia" w:ascii="仿宋_GB2312" w:hAnsi="Times New Roman" w:eastAsia="仿宋_GB2312"/>
          <w:color w:val="auto"/>
          <w:sz w:val="30"/>
          <w:szCs w:val="30"/>
          <w:lang w:val="en-US" w:eastAsia="zh-CN"/>
        </w:rPr>
        <w:t>17</w:t>
      </w:r>
      <w:r>
        <w:rPr>
          <w:rFonts w:hint="eastAsia" w:ascii="仿宋_GB2312" w:hAnsi="Times New Roman" w:eastAsia="仿宋_GB2312"/>
          <w:color w:val="auto"/>
          <w:sz w:val="30"/>
          <w:szCs w:val="30"/>
        </w:rPr>
        <w:t xml:space="preserve">:30。 </w:t>
      </w:r>
    </w:p>
    <w:p>
      <w:pPr>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二十一、常见问题解答和错误示例。</w:t>
      </w:r>
    </w:p>
    <w:p>
      <w:pPr>
        <w:pStyle w:val="2"/>
        <w:adjustRightInd w:val="0"/>
        <w:spacing w:line="600" w:lineRule="exact"/>
        <w:ind w:left="0" w:leftChars="0" w:right="397" w:firstLine="0" w:firstLineChars="0"/>
        <w:rPr>
          <w:rFonts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30"/>
          <w:szCs w:val="30"/>
          <w:lang w:val="en-US" w:eastAsia="zh-CN" w:bidi="ar-SA"/>
        </w:rPr>
        <w:t xml:space="preserve">    </w:t>
      </w:r>
      <w:r>
        <w:rPr>
          <w:rFonts w:ascii="Times New Roman" w:hAnsi="Times New Roman" w:eastAsia="仿宋_GB2312" w:cs="Times New Roman"/>
          <w:color w:val="auto"/>
          <w:kern w:val="0"/>
          <w:sz w:val="30"/>
          <w:szCs w:val="30"/>
          <w:lang w:val="en-US" w:eastAsia="zh-CN" w:bidi="ar-SA"/>
        </w:rPr>
        <w:t>1.</w:t>
      </w:r>
      <w:r>
        <w:rPr>
          <w:rFonts w:hint="eastAsia" w:ascii="Times New Roman" w:hAnsi="Times New Roman" w:eastAsia="仿宋_GB2312" w:cs="Times New Roman"/>
          <w:color w:val="auto"/>
          <w:kern w:val="0"/>
          <w:sz w:val="30"/>
          <w:szCs w:val="30"/>
          <w:lang w:val="en-US" w:eastAsia="zh-CN" w:bidi="ar-SA"/>
        </w:rPr>
        <w:t>企业首次登记时</w:t>
      </w:r>
      <w:r>
        <w:rPr>
          <w:rFonts w:ascii="Times New Roman" w:hAnsi="Times New Roman" w:eastAsia="仿宋_GB2312" w:cs="Times New Roman"/>
          <w:color w:val="auto"/>
          <w:kern w:val="0"/>
          <w:sz w:val="30"/>
          <w:szCs w:val="30"/>
          <w:lang w:val="en-US" w:eastAsia="zh-CN" w:bidi="ar-SA"/>
        </w:rPr>
        <w:t>需</w:t>
      </w:r>
      <w:r>
        <w:rPr>
          <w:rFonts w:hint="eastAsia" w:ascii="Times New Roman" w:hAnsi="Times New Roman" w:eastAsia="仿宋_GB2312" w:cs="Times New Roman"/>
          <w:color w:val="auto"/>
          <w:kern w:val="0"/>
          <w:sz w:val="30"/>
          <w:szCs w:val="30"/>
          <w:lang w:val="en-US" w:eastAsia="zh-CN" w:bidi="ar-SA"/>
        </w:rPr>
        <w:t>注意什么</w:t>
      </w:r>
      <w:r>
        <w:rPr>
          <w:rFonts w:ascii="Times New Roman" w:hAnsi="Times New Roman" w:eastAsia="仿宋_GB2312" w:cs="Times New Roman"/>
          <w:color w:val="auto"/>
          <w:kern w:val="0"/>
          <w:sz w:val="30"/>
          <w:szCs w:val="30"/>
          <w:lang w:val="en-US" w:eastAsia="zh-CN" w:bidi="ar-SA"/>
        </w:rPr>
        <w:t>？</w:t>
      </w:r>
    </w:p>
    <w:p>
      <w:pPr>
        <w:ind w:firstLine="600"/>
        <w:rPr>
          <w:rFonts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30"/>
          <w:szCs w:val="30"/>
          <w:lang w:val="en-US" w:eastAsia="zh-CN" w:bidi="ar-SA"/>
        </w:rPr>
        <w:t>企业首次登记时，书面申请中应注明基本情况、业务开展情况、拟开户银行、使用期限、根据实际需要申请的存放境外资金规模等</w:t>
      </w:r>
      <w:r>
        <w:rPr>
          <w:rFonts w:ascii="Times New Roman" w:hAnsi="Times New Roman" w:eastAsia="仿宋_GB2312" w:cs="Times New Roman"/>
          <w:color w:val="auto"/>
          <w:kern w:val="0"/>
          <w:sz w:val="30"/>
          <w:szCs w:val="30"/>
          <w:lang w:val="en-US" w:eastAsia="zh-CN" w:bidi="ar-SA"/>
        </w:rPr>
        <w:t>。</w:t>
      </w:r>
    </w:p>
    <w:p>
      <w:pPr>
        <w:widowControl/>
        <w:spacing w:line="384" w:lineRule="auto"/>
        <w:ind w:firstLine="600" w:firstLineChars="200"/>
        <w:jc w:val="left"/>
        <w:rPr>
          <w:rFonts w:ascii="Times New Roman" w:hAnsi="Times New Roman" w:eastAsia="仿宋_GB2312" w:cs="Times New Roman"/>
          <w:color w:val="auto"/>
          <w:kern w:val="0"/>
          <w:sz w:val="30"/>
          <w:szCs w:val="30"/>
        </w:rPr>
      </w:pPr>
      <w:r>
        <w:rPr>
          <w:rFonts w:ascii="Times New Roman" w:hAnsi="Times New Roman" w:eastAsia="仿宋_GB2312" w:cs="Times New Roman"/>
          <w:color w:val="auto"/>
          <w:kern w:val="0"/>
          <w:sz w:val="30"/>
          <w:szCs w:val="30"/>
        </w:rPr>
        <w:t>2.错误示例</w:t>
      </w:r>
    </w:p>
    <w:p>
      <w:pPr>
        <w:widowControl/>
        <w:spacing w:line="384" w:lineRule="auto"/>
        <w:ind w:firstLine="600" w:firstLineChars="200"/>
        <w:rPr>
          <w:rFonts w:ascii="Times New Roman" w:hAnsi="Times New Roman" w:eastAsia="仿宋_GB2312" w:cs="Times New Roman"/>
          <w:color w:val="auto"/>
          <w:sz w:val="30"/>
          <w:szCs w:val="30"/>
        </w:rPr>
        <w:sectPr>
          <w:footerReference r:id="rId4" w:type="default"/>
          <w:pgSz w:w="11906" w:h="16838"/>
          <w:pgMar w:top="1440" w:right="1800" w:bottom="1440" w:left="1800" w:header="851" w:footer="992" w:gutter="0"/>
          <w:cols w:space="720" w:num="1"/>
          <w:docGrid w:type="lines" w:linePitch="312" w:charSpace="0"/>
        </w:sectPr>
      </w:pPr>
      <w:r>
        <w:rPr>
          <w:rFonts w:hint="eastAsia" w:ascii="Times New Roman" w:hAnsi="Times New Roman" w:eastAsia="仿宋_GB2312" w:cs="Times New Roman"/>
          <w:color w:val="auto"/>
          <w:kern w:val="0"/>
          <w:sz w:val="30"/>
          <w:szCs w:val="30"/>
          <w:lang w:val="en-US" w:eastAsia="zh-CN" w:bidi="ar-SA"/>
        </w:rPr>
        <w:t>注意境外开户银行名称应填写全称，不要误将境外开户银行名称填写为简称，如将“A 银行股份有限公司 XX 分行”填写为“A 行XX 分行”</w:t>
      </w:r>
      <w:r>
        <w:rPr>
          <w:rFonts w:ascii="Times New Roman" w:hAnsi="Times New Roman" w:eastAsia="仿宋_GB2312" w:cs="Times New Roman"/>
          <w:color w:val="auto"/>
          <w:sz w:val="30"/>
          <w:szCs w:val="30"/>
        </w:rPr>
        <w:t>。</w:t>
      </w:r>
    </w:p>
    <w:p>
      <w:pPr>
        <w:ind w:right="3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附录一</w:t>
      </w:r>
    </w:p>
    <w:p>
      <w:pPr>
        <w:ind w:right="300"/>
        <w:jc w:val="center"/>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基本流程图</w:t>
      </w:r>
    </w:p>
    <w:p>
      <w:pPr>
        <w:ind w:right="300"/>
        <w:jc w:val="center"/>
        <w:rPr>
          <w:rFonts w:ascii="Times New Roman" w:hAnsi="Times New Roman" w:eastAsia="黑体" w:cs="Times New Roman"/>
          <w:color w:val="auto"/>
          <w:sz w:val="30"/>
          <w:szCs w:val="30"/>
        </w:rPr>
      </w:pPr>
    </w:p>
    <w:p>
      <w:pPr>
        <w:ind w:right="300"/>
        <w:jc w:val="center"/>
        <w:rPr>
          <w:rFonts w:ascii="Times New Roman" w:hAnsi="Times New Roman" w:eastAsia="仿宋_GB2312" w:cs="Times New Roman"/>
          <w:color w:val="auto"/>
          <w:sz w:val="30"/>
          <w:szCs w:val="30"/>
        </w:rPr>
      </w:pPr>
      <w:r>
        <w:rPr>
          <w:rFonts w:ascii="Times New Roman" w:hAnsi="Times New Roman" w:eastAsia="仿宋_GB2312" w:cs="Times New Roman"/>
          <w:color w:val="auto"/>
          <w:kern w:val="2"/>
          <w:sz w:val="30"/>
          <w:szCs w:val="30"/>
          <w:lang w:val="en-US" w:eastAsia="zh-CN" w:bidi="ar-SA"/>
        </w:rPr>
        <w:pict>
          <v:shape id="Flowchart: Terminator 78" o:spid="_x0000_s2050" o:spt="116" type="#_x0000_t116" style="position:absolute;left:0pt;margin-left:-5.25pt;margin-top:4.45pt;height:70.75pt;width:99.8pt;z-index:25165926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申请人提出申请，并提交材料</w:t>
                  </w:r>
                </w:p>
              </w:txbxContent>
            </v:textbox>
          </v:shape>
        </w:pict>
      </w: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r>
        <w:rPr>
          <w:rFonts w:ascii="Times New Roman" w:hAnsi="Times New Roman" w:eastAsia="仿宋_GB2312" w:cs="Times New Roman"/>
          <w:color w:val="auto"/>
          <w:kern w:val="2"/>
          <w:sz w:val="30"/>
          <w:szCs w:val="30"/>
          <w:lang w:val="en-US" w:eastAsia="zh-CN" w:bidi="ar-SA"/>
        </w:rPr>
        <w:pict>
          <v:shape id="Straight Connector 86" o:spid="_x0000_s2051" o:spt="32" type="#_x0000_t32" style="position:absolute;left:0pt;margin-left:39.8pt;margin-top:12.8pt;height:43.4pt;width:0.8pt;z-index:251660288;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shape id="Straight Connector 90" o:spid="_x0000_s2052" o:spt="32" type="#_x0000_t32" style="position:absolute;left:0pt;flip:x;margin-left:41.45pt;margin-top:21.05pt;height:0.05pt;width:232.15pt;z-index:251661312;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rect id="Rectangle 80" o:spid="_x0000_s2053" o:spt="1" style="position:absolute;left:0pt;margin-left:273.6pt;margin-top:1.6pt;height:33.7pt;width:146.45pt;z-index:25166233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申请人补全材料</w:t>
                  </w:r>
                </w:p>
              </w:txbxContent>
            </v:textbox>
          </v:rect>
        </w:pict>
      </w:r>
    </w:p>
    <w:p>
      <w:pPr>
        <w:ind w:right="300"/>
        <w:jc w:val="left"/>
        <w:rPr>
          <w:rFonts w:ascii="Times New Roman" w:hAnsi="Times New Roman" w:eastAsia="仿宋_GB2312" w:cs="Times New Roman"/>
          <w:color w:val="auto"/>
          <w:sz w:val="30"/>
          <w:szCs w:val="30"/>
        </w:rPr>
        <w:sectPr>
          <w:pgSz w:w="11906" w:h="16838"/>
          <w:pgMar w:top="1440" w:right="1800" w:bottom="1440" w:left="1800" w:header="851" w:footer="992" w:gutter="0"/>
          <w:cols w:space="720" w:num="1"/>
          <w:docGrid w:type="lines" w:linePitch="312" w:charSpace="0"/>
        </w:sectPr>
      </w:pPr>
      <w:r>
        <w:rPr>
          <w:rFonts w:ascii="Times New Roman" w:hAnsi="Times New Roman" w:eastAsia="仿宋_GB2312" w:cs="Times New Roman"/>
          <w:color w:val="auto"/>
          <w:kern w:val="2"/>
          <w:sz w:val="30"/>
          <w:szCs w:val="30"/>
          <w:lang w:val="en-US" w:eastAsia="zh-CN" w:bidi="ar-SA"/>
        </w:rPr>
        <w:pict>
          <v:shape id="Straight Connector 94" o:spid="_x0000_s2054" o:spt="32" type="#_x0000_t32" style="position:absolute;left:0pt;margin-left:41.45pt;margin-top:125.3pt;height:57.55pt;width:0.05pt;z-index:251663360;mso-width-relative:page;mso-height-relative:page;" o:connectortype="straight"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shape id="Straight Connector 88" o:spid="_x0000_s2055" o:spt="32" type="#_x0000_t32" style="position:absolute;left:0pt;margin-left:99.95pt;margin-top:92.5pt;height:0.05pt;width:52pt;z-index:251664384;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rect id="Rectangle 82" o:spid="_x0000_s2056" o:spt="1" style="position:absolute;left:0pt;margin-left:151.95pt;margin-top:80pt;height:45.3pt;width:268.1pt;z-index:251665408;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依法不予受理的，作出不予受理决定，出具不予受理通知书</w:t>
                  </w:r>
                </w:p>
              </w:txbxContent>
            </v:textbox>
          </v:rect>
        </w:pict>
      </w:r>
      <w:r>
        <w:rPr>
          <w:rFonts w:ascii="Times New Roman" w:hAnsi="Times New Roman" w:eastAsia="仿宋_GB2312" w:cs="Times New Roman"/>
          <w:color w:val="auto"/>
          <w:kern w:val="2"/>
          <w:sz w:val="30"/>
          <w:szCs w:val="30"/>
          <w:lang w:val="en-US" w:eastAsia="zh-CN" w:bidi="ar-SA"/>
        </w:rPr>
        <w:pict>
          <v:shape id="Flowchart: Terminator 85" o:spid="_x0000_s2057" o:spt="116" type="#_x0000_t116" style="position:absolute;left:0pt;margin-left:-5.25pt;margin-top:375.2pt;height:63.55pt;width:197.6pt;z-index:251666432;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予以许可</w:t>
                  </w:r>
                </w:p>
              </w:txbxContent>
            </v:textbox>
          </v:shape>
        </w:pict>
      </w:r>
      <w:r>
        <w:rPr>
          <w:rFonts w:ascii="Times New Roman" w:hAnsi="Times New Roman" w:eastAsia="仿宋_GB2312" w:cs="Times New Roman"/>
          <w:color w:val="auto"/>
          <w:kern w:val="2"/>
          <w:sz w:val="30"/>
          <w:szCs w:val="30"/>
          <w:lang w:val="en-US" w:eastAsia="zh-CN" w:bidi="ar-SA"/>
        </w:rPr>
        <w:pict>
          <v:shape id="Flowchart: Terminator 84" o:spid="_x0000_s2058" o:spt="116" type="#_x0000_t116" style="position:absolute;left:0pt;margin-left:198.8pt;margin-top:375.2pt;height:63.55pt;width:180.85pt;z-index:25166745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依法作出不予许可决定</w:t>
                  </w:r>
                </w:p>
              </w:txbxContent>
            </v:textbox>
          </v:shape>
        </w:pict>
      </w:r>
      <w:r>
        <w:rPr>
          <w:rFonts w:ascii="Times New Roman" w:hAnsi="Times New Roman" w:eastAsia="仿宋_GB2312" w:cs="Times New Roman"/>
          <w:color w:val="auto"/>
          <w:kern w:val="2"/>
          <w:sz w:val="30"/>
          <w:szCs w:val="30"/>
          <w:lang w:val="en-US" w:eastAsia="zh-CN" w:bidi="ar-SA"/>
        </w:rPr>
        <w:pict>
          <v:shape id="Straight Connector 92" o:spid="_x0000_s2059" o:spt="32" type="#_x0000_t32" style="position:absolute;left:0pt;margin-left:237.25pt;margin-top:323.1pt;height:52.1pt;width:0.05pt;z-index:251668480;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shape id="Straight Connector 93" o:spid="_x0000_s2060" o:spt="32" type="#_x0000_t32" style="position:absolute;left:0pt;margin-left:117.65pt;margin-top:323.1pt;height:52.1pt;width:0.05pt;z-index:251669504;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shape id="Flowchart: Decision 96" o:spid="_x0000_s2061" o:spt="110" type="#_x0000_t110" style="position:absolute;left:0pt;margin-left:94.55pt;margin-top:265.4pt;height:86.2pt;width:166.25pt;z-index:251670528;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
                  <w:pPr>
                    <w:ind w:firstLine="315" w:firstLineChars="150"/>
                  </w:pPr>
                  <w:r>
                    <w:rPr>
                      <w:rFonts w:hint="eastAsia"/>
                    </w:rPr>
                    <w:t>审查报批</w:t>
                  </w:r>
                </w:p>
              </w:txbxContent>
            </v:textbox>
          </v:shape>
        </w:pict>
      </w:r>
      <w:r>
        <w:rPr>
          <w:rFonts w:ascii="Times New Roman" w:hAnsi="Times New Roman" w:eastAsia="仿宋_GB2312" w:cs="Times New Roman"/>
          <w:color w:val="auto"/>
          <w:kern w:val="2"/>
          <w:sz w:val="30"/>
          <w:szCs w:val="30"/>
          <w:lang w:val="en-US" w:eastAsia="zh-CN" w:bidi="ar-SA"/>
        </w:rPr>
        <w:pict>
          <v:shape id="Straight Connector 91" o:spid="_x0000_s2062" o:spt="32" type="#_x0000_t32" style="position:absolute;left:0pt;margin-left:179.6pt;margin-top:231.45pt;height:33.95pt;width:0.05pt;z-index:251671552;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shape id="Straight Connector 87" o:spid="_x0000_s2063" o:spt="32" type="#_x0000_t32" style="position:absolute;left:0pt;margin-left:103.8pt;margin-top:61.4pt;height:0.05pt;width:48.15pt;z-index:251672576;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shape id="Flowchart: Decision 79" o:spid="_x0000_s2064" o:spt="110" type="#_x0000_t110" style="position:absolute;left:0pt;margin-left:-42.55pt;margin-top:25pt;height:100.3pt;width:166.25pt;z-index:251673600;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接件并于5个工作日内作出是否受理决定</w:t>
                  </w:r>
                </w:p>
              </w:txbxContent>
            </v:textbox>
          </v:shape>
        </w:pict>
      </w:r>
      <w:r>
        <w:rPr>
          <w:rFonts w:ascii="Times New Roman" w:hAnsi="Times New Roman" w:eastAsia="仿宋_GB2312" w:cs="Times New Roman"/>
          <w:color w:val="auto"/>
          <w:kern w:val="2"/>
          <w:sz w:val="30"/>
          <w:szCs w:val="30"/>
          <w:lang w:val="en-US" w:eastAsia="zh-CN" w:bidi="ar-SA"/>
        </w:rPr>
        <w:pict>
          <v:rect id="Rectangle 83" o:spid="_x0000_s2065" o:spt="1" style="position:absolute;left:0pt;margin-left:81.7pt;margin-top:162.05pt;height:69.4pt;width:210.9pt;z-index:25167462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材料齐全的，依法予以受理</w:t>
                  </w:r>
                </w:p>
                <w:p/>
              </w:txbxContent>
            </v:textbox>
          </v:rect>
        </w:pict>
      </w:r>
      <w:r>
        <w:rPr>
          <w:rFonts w:ascii="Times New Roman" w:hAnsi="Times New Roman" w:eastAsia="仿宋_GB2312" w:cs="Times New Roman"/>
          <w:color w:val="auto"/>
          <w:kern w:val="2"/>
          <w:sz w:val="30"/>
          <w:szCs w:val="30"/>
          <w:lang w:val="en-US" w:eastAsia="zh-CN" w:bidi="ar-SA"/>
        </w:rPr>
        <w:pict>
          <v:shape id="Straight Connector 95" o:spid="_x0000_s2066" o:spt="32" type="#_x0000_t32" style="position:absolute;left:0pt;margin-left:40.6pt;margin-top:182.85pt;height:0.05pt;width:41.1pt;z-index:251675648;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shape id="Straight Connector 89" o:spid="_x0000_s2067" o:spt="32" type="#_x0000_t32" style="position:absolute;left:0pt;flip:y;margin-left:345.35pt;margin-top:4.1pt;height:44.75pt;width:0.05pt;z-index:251676672;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rect id="Rectangle 81" o:spid="_x0000_s2068" o:spt="1" style="position:absolute;left:0pt;margin-left:151.95pt;margin-top:48.85pt;height:25pt;width:268.1pt;z-index:25167769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材料不全或不符合法定形式的，一次性告知补正材料</w:t>
                  </w:r>
                </w:p>
              </w:txbxContent>
            </v:textbox>
          </v:rect>
        </w:pict>
      </w:r>
    </w:p>
    <w:p>
      <w:pPr>
        <w:widowControl/>
        <w:spacing w:line="384" w:lineRule="auto"/>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附录二（</w:t>
      </w:r>
      <w:r>
        <w:rPr>
          <w:rFonts w:ascii="Times New Roman" w:hAnsi="Times New Roman" w:eastAsia="仿宋_GB2312" w:cs="Times New Roman"/>
          <w:color w:val="auto"/>
          <w:kern w:val="0"/>
          <w:sz w:val="30"/>
          <w:szCs w:val="30"/>
        </w:rPr>
        <w:t>材料示范文本</w:t>
      </w:r>
      <w:r>
        <w:rPr>
          <w:rFonts w:ascii="Times New Roman" w:hAnsi="Times New Roman" w:eastAsia="仿宋_GB2312" w:cs="Times New Roman"/>
          <w:color w:val="auto"/>
          <w:sz w:val="30"/>
          <w:szCs w:val="30"/>
        </w:rPr>
        <w:t>）</w:t>
      </w:r>
    </w:p>
    <w:p>
      <w:pPr>
        <w:widowControl/>
        <w:spacing w:line="384" w:lineRule="auto"/>
        <w:jc w:val="center"/>
        <w:rPr>
          <w:rFonts w:ascii="Times New Roman" w:hAnsi="Times New Roman" w:eastAsia="黑体" w:cs="Times New Roman"/>
          <w:color w:val="auto"/>
          <w:kern w:val="0"/>
          <w:sz w:val="30"/>
          <w:szCs w:val="30"/>
        </w:rPr>
      </w:pPr>
    </w:p>
    <w:p>
      <w:pPr>
        <w:pStyle w:val="2"/>
        <w:spacing w:line="600" w:lineRule="exact"/>
        <w:ind w:left="1508"/>
        <w:rPr>
          <w:rFonts w:hint="eastAsia" w:ascii="Times New Roman" w:hAnsi="Times New Roman" w:eastAsia="仿宋_GB2312" w:cs="Times New Roman"/>
          <w:color w:val="auto"/>
        </w:rPr>
      </w:pPr>
      <w:r>
        <w:rPr>
          <w:rFonts w:ascii="Times New Roman" w:hAnsi="Times New Roman" w:eastAsia="仿宋_GB2312" w:cs="Times New Roman"/>
          <w:color w:val="auto"/>
        </w:rPr>
        <w:t>XX 公司关于开立出口收入存放境外外汇账户的申请</w:t>
      </w:r>
    </w:p>
    <w:p>
      <w:pPr>
        <w:pStyle w:val="2"/>
        <w:spacing w:line="600" w:lineRule="exact"/>
        <w:ind w:left="0"/>
        <w:jc w:val="center"/>
        <w:rPr>
          <w:rFonts w:ascii="Times New Roman" w:hAnsi="Times New Roman" w:eastAsia="仿宋_GB2312" w:cs="Times New Roman"/>
          <w:color w:val="auto"/>
        </w:rPr>
      </w:pPr>
      <w:r>
        <w:rPr>
          <w:rFonts w:ascii="Times New Roman" w:hAnsi="Times New Roman" w:eastAsia="仿宋_GB2312" w:cs="Times New Roman"/>
          <w:color w:val="auto"/>
        </w:rPr>
        <w:t>（示范文本）</w:t>
      </w:r>
    </w:p>
    <w:p>
      <w:pPr>
        <w:pStyle w:val="2"/>
        <w:spacing w:line="600" w:lineRule="exact"/>
        <w:ind w:left="0"/>
        <w:rPr>
          <w:rFonts w:ascii="Times New Roman" w:hAnsi="Times New Roman" w:eastAsia="仿宋_GB2312" w:cs="Times New Roman"/>
          <w:color w:val="auto"/>
        </w:rPr>
      </w:pPr>
    </w:p>
    <w:p>
      <w:pPr>
        <w:pStyle w:val="2"/>
        <w:spacing w:line="600" w:lineRule="exact"/>
        <w:ind w:left="760"/>
        <w:jc w:val="both"/>
        <w:rPr>
          <w:rFonts w:ascii="Times New Roman" w:hAnsi="Times New Roman" w:eastAsia="仿宋_GB2312" w:cs="Times New Roman"/>
          <w:color w:val="auto"/>
        </w:rPr>
      </w:pPr>
      <w:r>
        <w:rPr>
          <w:rFonts w:ascii="Times New Roman" w:hAnsi="Times New Roman" w:eastAsia="仿宋_GB2312" w:cs="Times New Roman"/>
          <w:color w:val="auto"/>
        </w:rPr>
        <w:t>国家外汇管理局XX 分（支）局：</w:t>
      </w:r>
    </w:p>
    <w:p>
      <w:pPr>
        <w:pStyle w:val="2"/>
        <w:spacing w:line="600" w:lineRule="exact"/>
        <w:ind w:left="760" w:right="417" w:firstLine="600"/>
        <w:jc w:val="both"/>
        <w:rPr>
          <w:rFonts w:ascii="Times New Roman" w:hAnsi="Times New Roman" w:eastAsia="仿宋_GB2312" w:cs="Times New Roman"/>
          <w:color w:val="auto"/>
        </w:rPr>
      </w:pPr>
      <w:r>
        <w:rPr>
          <w:rFonts w:ascii="Times New Roman" w:hAnsi="Times New Roman" w:eastAsia="仿宋_GB2312" w:cs="Times New Roman"/>
          <w:color w:val="auto"/>
          <w:spacing w:val="12"/>
        </w:rPr>
        <w:t>我公司成立于</w:t>
      </w:r>
      <w:r>
        <w:rPr>
          <w:rFonts w:ascii="Times New Roman" w:hAnsi="Times New Roman" w:eastAsia="仿宋_GB2312" w:cs="Times New Roman"/>
          <w:color w:val="auto"/>
        </w:rPr>
        <w:t>XXXX</w:t>
      </w:r>
      <w:r>
        <w:rPr>
          <w:rFonts w:ascii="Times New Roman" w:hAnsi="Times New Roman" w:eastAsia="仿宋_GB2312" w:cs="Times New Roman"/>
          <w:color w:val="auto"/>
          <w:spacing w:val="-27"/>
        </w:rPr>
        <w:t xml:space="preserve"> 年，注册资金 </w:t>
      </w:r>
      <w:r>
        <w:rPr>
          <w:rFonts w:ascii="Times New Roman" w:hAnsi="Times New Roman" w:eastAsia="仿宋_GB2312" w:cs="Times New Roman"/>
          <w:color w:val="auto"/>
        </w:rPr>
        <w:t>XX</w:t>
      </w:r>
      <w:r>
        <w:rPr>
          <w:rFonts w:ascii="Times New Roman" w:hAnsi="Times New Roman" w:eastAsia="仿宋_GB2312" w:cs="Times New Roman"/>
          <w:color w:val="auto"/>
          <w:spacing w:val="-42"/>
        </w:rPr>
        <w:t xml:space="preserve"> 万元</w:t>
      </w:r>
      <w:r>
        <w:rPr>
          <w:rFonts w:ascii="Times New Roman" w:hAnsi="Times New Roman" w:eastAsia="仿宋_GB2312" w:cs="Times New Roman"/>
          <w:color w:val="auto"/>
        </w:rPr>
        <w:t>（</w:t>
      </w:r>
      <w:r>
        <w:rPr>
          <w:rFonts w:ascii="Times New Roman" w:hAnsi="Times New Roman" w:eastAsia="仿宋_GB2312" w:cs="Times New Roman"/>
          <w:color w:val="auto"/>
          <w:spacing w:val="-2"/>
        </w:rPr>
        <w:t>公司基本情况介</w:t>
      </w:r>
      <w:r>
        <w:rPr>
          <w:rFonts w:ascii="Times New Roman" w:hAnsi="Times New Roman" w:eastAsia="仿宋_GB2312" w:cs="Times New Roman"/>
          <w:color w:val="auto"/>
        </w:rPr>
        <w:t>绍，近两年内有无违反外汇管理规定行为</w:t>
      </w:r>
      <w:r>
        <w:rPr>
          <w:rFonts w:ascii="Times New Roman" w:hAnsi="Times New Roman" w:eastAsia="仿宋_GB2312" w:cs="Times New Roman"/>
          <w:color w:val="auto"/>
          <w:spacing w:val="-152"/>
        </w:rPr>
        <w:t>）</w:t>
      </w:r>
      <w:r>
        <w:rPr>
          <w:rFonts w:ascii="Times New Roman" w:hAnsi="Times New Roman" w:eastAsia="仿宋_GB2312" w:cs="Times New Roman"/>
          <w:color w:val="auto"/>
        </w:rPr>
        <w:t>。</w:t>
      </w:r>
    </w:p>
    <w:p>
      <w:pPr>
        <w:pStyle w:val="2"/>
        <w:spacing w:line="600" w:lineRule="exact"/>
        <w:ind w:left="760" w:right="268" w:firstLine="600"/>
        <w:jc w:val="both"/>
        <w:rPr>
          <w:rFonts w:ascii="Times New Roman" w:hAnsi="Times New Roman" w:eastAsia="仿宋_GB2312" w:cs="Times New Roman"/>
          <w:color w:val="auto"/>
        </w:rPr>
      </w:pPr>
      <w:r>
        <w:rPr>
          <w:rFonts w:ascii="Times New Roman" w:hAnsi="Times New Roman" w:eastAsia="仿宋_GB2312" w:cs="Times New Roman"/>
          <w:color w:val="auto"/>
        </w:rPr>
        <w:t>XXXX年-XXXX</w:t>
      </w:r>
      <w:r>
        <w:rPr>
          <w:rFonts w:ascii="Times New Roman" w:hAnsi="Times New Roman" w:eastAsia="仿宋_GB2312" w:cs="Times New Roman"/>
          <w:color w:val="auto"/>
          <w:spacing w:val="-16"/>
        </w:rPr>
        <w:t>年，我公司贸易进出口及外汇收支额分别为……。</w:t>
      </w:r>
      <w:r>
        <w:rPr>
          <w:rFonts w:ascii="Times New Roman" w:hAnsi="Times New Roman" w:eastAsia="仿宋_GB2312" w:cs="Times New Roman"/>
          <w:color w:val="auto"/>
          <w:spacing w:val="7"/>
        </w:rPr>
        <w:t>因……业务需要，拟在</w:t>
      </w:r>
      <w:r>
        <w:rPr>
          <w:rFonts w:ascii="Times New Roman" w:hAnsi="Times New Roman" w:eastAsia="仿宋_GB2312" w:cs="Times New Roman"/>
          <w:color w:val="auto"/>
        </w:rPr>
        <w:t>X</w:t>
      </w:r>
      <w:r>
        <w:rPr>
          <w:rFonts w:ascii="Times New Roman" w:hAnsi="Times New Roman" w:eastAsia="仿宋_GB2312" w:cs="Times New Roman"/>
          <w:color w:val="auto"/>
          <w:spacing w:val="-1"/>
        </w:rPr>
        <w:t xml:space="preserve"> 国</w:t>
      </w:r>
      <w:r>
        <w:rPr>
          <w:rFonts w:ascii="Times New Roman" w:hAnsi="Times New Roman" w:eastAsia="仿宋_GB2312" w:cs="Times New Roman"/>
          <w:color w:val="auto"/>
        </w:rPr>
        <w:t>X</w:t>
      </w:r>
      <w:r>
        <w:rPr>
          <w:rFonts w:ascii="Times New Roman" w:hAnsi="Times New Roman" w:eastAsia="仿宋_GB2312" w:cs="Times New Roman"/>
          <w:color w:val="auto"/>
          <w:spacing w:val="-9"/>
        </w:rPr>
        <w:t xml:space="preserve"> 银行开立出口收入存放境外账户， </w:t>
      </w:r>
      <w:r>
        <w:rPr>
          <w:rFonts w:ascii="Times New Roman" w:hAnsi="Times New Roman" w:eastAsia="仿宋_GB2312" w:cs="Times New Roman"/>
          <w:color w:val="auto"/>
          <w:spacing w:val="-5"/>
        </w:rPr>
        <w:t>年度累计出口收入存放境外资金规模为</w:t>
      </w:r>
      <w:r>
        <w:rPr>
          <w:rFonts w:ascii="Times New Roman" w:hAnsi="Times New Roman" w:eastAsia="仿宋_GB2312" w:cs="Times New Roman"/>
          <w:color w:val="auto"/>
        </w:rPr>
        <w:t>X。</w:t>
      </w:r>
    </w:p>
    <w:p>
      <w:pPr>
        <w:pStyle w:val="2"/>
        <w:spacing w:line="600" w:lineRule="exact"/>
        <w:ind w:left="760" w:right="417" w:firstLine="600"/>
        <w:rPr>
          <w:rFonts w:ascii="Times New Roman" w:hAnsi="Times New Roman" w:eastAsia="仿宋_GB2312" w:cs="Times New Roman"/>
          <w:color w:val="auto"/>
        </w:rPr>
      </w:pPr>
      <w:r>
        <w:rPr>
          <w:rFonts w:ascii="Times New Roman" w:hAnsi="Times New Roman" w:eastAsia="仿宋_GB2312" w:cs="Times New Roman"/>
          <w:color w:val="auto"/>
          <w:spacing w:val="6"/>
        </w:rPr>
        <w:t>我公司存放境外业务类型为</w:t>
      </w:r>
      <w:r>
        <w:rPr>
          <w:rFonts w:ascii="Times New Roman" w:hAnsi="Times New Roman" w:eastAsia="仿宋_GB2312" w:cs="Times New Roman"/>
          <w:color w:val="auto"/>
        </w:rPr>
        <w:t>XXXX（单一型、集团型主办、集团型成员</w:t>
      </w:r>
      <w:r>
        <w:rPr>
          <w:rFonts w:ascii="Times New Roman" w:hAnsi="Times New Roman" w:eastAsia="仿宋_GB2312" w:cs="Times New Roman"/>
          <w:color w:val="auto"/>
          <w:spacing w:val="-48"/>
        </w:rPr>
        <w:t>）</w:t>
      </w:r>
      <w:r>
        <w:rPr>
          <w:rFonts w:ascii="Times New Roman" w:hAnsi="Times New Roman" w:eastAsia="仿宋_GB2312" w:cs="Times New Roman"/>
          <w:color w:val="auto"/>
          <w:spacing w:val="-8"/>
        </w:rPr>
        <w:t>。集团型业务需说明成员公司与主办企业是否存在</w:t>
      </w:r>
      <w:r>
        <w:rPr>
          <w:rFonts w:ascii="Times New Roman" w:hAnsi="Times New Roman" w:eastAsia="仿宋_GB2312" w:cs="Times New Roman"/>
          <w:color w:val="auto"/>
        </w:rPr>
        <w:t>所属不同外汇局相关情况。</w:t>
      </w:r>
    </w:p>
    <w:p>
      <w:pPr>
        <w:pStyle w:val="2"/>
        <w:spacing w:line="600" w:lineRule="exact"/>
        <w:rPr>
          <w:rFonts w:ascii="Times New Roman" w:hAnsi="Times New Roman" w:eastAsia="仿宋_GB2312" w:cs="Times New Roman"/>
          <w:color w:val="auto"/>
        </w:rPr>
      </w:pPr>
      <w:r>
        <w:rPr>
          <w:rFonts w:ascii="Times New Roman" w:hAnsi="Times New Roman" w:eastAsia="仿宋_GB2312" w:cs="Times New Roman"/>
          <w:color w:val="auto"/>
        </w:rPr>
        <w:t>……</w:t>
      </w:r>
    </w:p>
    <w:p>
      <w:pPr>
        <w:pStyle w:val="2"/>
        <w:spacing w:line="600" w:lineRule="exact"/>
        <w:rPr>
          <w:rFonts w:ascii="Times New Roman" w:hAnsi="Times New Roman" w:eastAsia="仿宋_GB2312" w:cs="Times New Roman"/>
          <w:color w:val="auto"/>
        </w:rPr>
      </w:pPr>
      <w:r>
        <w:rPr>
          <w:rFonts w:ascii="Times New Roman" w:hAnsi="Times New Roman" w:eastAsia="仿宋_GB2312" w:cs="Times New Roman"/>
          <w:color w:val="auto"/>
        </w:rPr>
        <w:t>特此申请。</w:t>
      </w:r>
    </w:p>
    <w:p>
      <w:pPr>
        <w:pStyle w:val="2"/>
        <w:spacing w:line="600" w:lineRule="exact"/>
        <w:ind w:left="0"/>
        <w:rPr>
          <w:rFonts w:ascii="Times New Roman" w:hAnsi="Times New Roman" w:eastAsia="仿宋_GB2312" w:cs="Times New Roman"/>
          <w:color w:val="auto"/>
        </w:rPr>
      </w:pPr>
    </w:p>
    <w:p>
      <w:pPr>
        <w:pStyle w:val="2"/>
        <w:spacing w:line="600" w:lineRule="exact"/>
        <w:ind w:left="0"/>
        <w:rPr>
          <w:rFonts w:ascii="Times New Roman" w:hAnsi="Times New Roman" w:eastAsia="仿宋_GB2312" w:cs="Times New Roman"/>
          <w:color w:val="auto"/>
        </w:rPr>
      </w:pPr>
    </w:p>
    <w:p>
      <w:pPr>
        <w:pStyle w:val="2"/>
        <w:spacing w:line="600" w:lineRule="exact"/>
        <w:ind w:left="735" w:right="395"/>
        <w:jc w:val="center"/>
        <w:rPr>
          <w:rFonts w:ascii="Times New Roman" w:hAnsi="Times New Roman" w:eastAsia="仿宋_GB2312" w:cs="Times New Roman"/>
          <w:color w:val="auto"/>
        </w:rPr>
      </w:pPr>
      <w:r>
        <w:rPr>
          <w:rFonts w:ascii="Times New Roman" w:hAnsi="Times New Roman" w:eastAsia="仿宋_GB2312" w:cs="Times New Roman"/>
          <w:color w:val="auto"/>
        </w:rPr>
        <w:t xml:space="preserve">             </w:t>
      </w:r>
      <w:r>
        <w:rPr>
          <w:rFonts w:hint="eastAsia" w:ascii="Times New Roman" w:hAnsi="Times New Roman" w:eastAsia="仿宋_GB2312" w:cs="Times New Roman"/>
          <w:color w:val="auto"/>
        </w:rPr>
        <w:t xml:space="preserve">           </w:t>
      </w:r>
      <w:r>
        <w:rPr>
          <w:rFonts w:ascii="Times New Roman" w:hAnsi="Times New Roman" w:eastAsia="仿宋_GB2312" w:cs="Times New Roman"/>
          <w:color w:val="auto"/>
        </w:rPr>
        <w:t xml:space="preserve"> 单位（盖章）：</w:t>
      </w:r>
    </w:p>
    <w:p>
      <w:pPr>
        <w:pStyle w:val="2"/>
        <w:spacing w:line="600" w:lineRule="exact"/>
        <w:ind w:left="735" w:right="397"/>
        <w:jc w:val="center"/>
        <w:rPr>
          <w:rFonts w:ascii="Times New Roman" w:hAnsi="Times New Roman" w:eastAsia="仿宋_GB2312" w:cs="Times New Roman"/>
          <w:color w:val="auto"/>
        </w:rPr>
      </w:pPr>
      <w:r>
        <w:rPr>
          <w:rFonts w:ascii="Times New Roman" w:hAnsi="Times New Roman" w:eastAsia="仿宋_GB2312" w:cs="Times New Roman"/>
          <w:color w:val="auto"/>
        </w:rPr>
        <w:t>法定代表人或授权人（签字）：</w:t>
      </w:r>
    </w:p>
    <w:p>
      <w:pPr>
        <w:pStyle w:val="2"/>
        <w:tabs>
          <w:tab w:val="left" w:pos="6759"/>
          <w:tab w:val="left" w:pos="7359"/>
        </w:tabs>
        <w:spacing w:line="600" w:lineRule="exact"/>
        <w:ind w:left="6160"/>
        <w:rPr>
          <w:rFonts w:ascii="Times New Roman" w:hAnsi="Times New Roman" w:eastAsia="仿宋_GB2312" w:cs="Times New Roman"/>
          <w:color w:val="auto"/>
        </w:rPr>
      </w:pPr>
      <w:r>
        <w:rPr>
          <w:rFonts w:ascii="Times New Roman" w:hAnsi="Times New Roman" w:eastAsia="仿宋_GB2312" w:cs="Times New Roman"/>
          <w:color w:val="auto"/>
        </w:rPr>
        <w:t>年</w:t>
      </w:r>
      <w:r>
        <w:rPr>
          <w:rFonts w:ascii="Times New Roman" w:hAnsi="Times New Roman" w:eastAsia="仿宋_GB2312" w:cs="Times New Roman"/>
          <w:color w:val="auto"/>
        </w:rPr>
        <w:tab/>
      </w:r>
      <w:r>
        <w:rPr>
          <w:rFonts w:ascii="Times New Roman" w:hAnsi="Times New Roman" w:eastAsia="仿宋_GB2312" w:cs="Times New Roman"/>
          <w:color w:val="auto"/>
        </w:rPr>
        <w:t>月</w:t>
      </w:r>
      <w:r>
        <w:rPr>
          <w:rFonts w:ascii="Times New Roman" w:hAnsi="Times New Roman" w:eastAsia="仿宋_GB2312" w:cs="Times New Roman"/>
          <w:color w:val="auto"/>
        </w:rPr>
        <w:tab/>
      </w:r>
      <w:r>
        <w:rPr>
          <w:rFonts w:ascii="Times New Roman" w:hAnsi="Times New Roman" w:eastAsia="仿宋_GB2312" w:cs="Times New Roman"/>
          <w:color w:val="auto"/>
        </w:rPr>
        <w:t>日</w:t>
      </w:r>
    </w:p>
    <w:p>
      <w:pPr>
        <w:pStyle w:val="2"/>
        <w:spacing w:line="600" w:lineRule="exact"/>
        <w:ind w:left="0"/>
        <w:rPr>
          <w:rFonts w:ascii="Times New Roman" w:hAnsi="Times New Roman" w:eastAsia="仿宋_GB2312" w:cs="Times New Roman"/>
          <w:color w:val="auto"/>
        </w:rPr>
      </w:pPr>
    </w:p>
    <w:p>
      <w:pPr>
        <w:spacing w:line="600" w:lineRule="exact"/>
        <w:rPr>
          <w:rFonts w:ascii="Times New Roman" w:hAnsi="Times New Roman" w:eastAsia="仿宋_GB2312" w:cs="Times New Roman"/>
          <w:color w:val="auto"/>
          <w:sz w:val="30"/>
          <w:szCs w:val="30"/>
        </w:rPr>
        <w:sectPr>
          <w:pgSz w:w="11910" w:h="16840"/>
          <w:pgMar w:top="1380" w:right="1380" w:bottom="1380" w:left="1040" w:header="0" w:footer="1196" w:gutter="0"/>
          <w:cols w:space="720" w:num="1"/>
          <w:docGrid w:type="lines" w:linePitch="312" w:charSpace="0"/>
        </w:sectPr>
      </w:pPr>
    </w:p>
    <w:p>
      <w:pPr>
        <w:pStyle w:val="2"/>
        <w:spacing w:line="400" w:lineRule="exact"/>
        <w:ind w:left="0"/>
        <w:rPr>
          <w:rFonts w:ascii="Times New Roman" w:hAnsi="Times New Roman" w:eastAsia="仿宋_GB2312" w:cs="Times New Roman"/>
          <w:color w:val="auto"/>
        </w:rPr>
      </w:pPr>
      <w:r>
        <w:rPr>
          <w:rFonts w:ascii="Times New Roman" w:hAnsi="Times New Roman" w:eastAsia="仿宋_GB2312" w:cs="Times New Roman"/>
          <w:color w:val="auto"/>
        </w:rPr>
        <w:t>附录三</w:t>
      </w:r>
    </w:p>
    <w:p>
      <w:pPr>
        <w:pStyle w:val="2"/>
        <w:spacing w:line="440" w:lineRule="exact"/>
        <w:ind w:left="760"/>
        <w:rPr>
          <w:rFonts w:ascii="Times New Roman" w:hAnsi="Times New Roman" w:eastAsia="仿宋_GB2312" w:cs="Times New Roman"/>
          <w:color w:val="auto"/>
        </w:rPr>
      </w:pPr>
    </w:p>
    <w:p>
      <w:pPr>
        <w:pStyle w:val="2"/>
        <w:spacing w:line="420" w:lineRule="exact"/>
        <w:ind w:left="735" w:right="395"/>
        <w:jc w:val="center"/>
        <w:rPr>
          <w:rFonts w:hint="eastAsia" w:ascii="Times New Roman" w:hAnsi="Times New Roman" w:eastAsia="仿宋_GB2312" w:cs="Times New Roman"/>
          <w:color w:val="auto"/>
        </w:rPr>
      </w:pPr>
      <w:r>
        <w:rPr>
          <w:rFonts w:ascii="Times New Roman" w:hAnsi="Times New Roman" w:eastAsia="仿宋_GB2312" w:cs="Times New Roman"/>
          <w:color w:val="auto"/>
        </w:rPr>
        <w:t>出口收入存放境外登记表（示范文本）</w:t>
      </w:r>
    </w:p>
    <w:p>
      <w:pPr>
        <w:pStyle w:val="2"/>
        <w:spacing w:line="420" w:lineRule="exact"/>
        <w:ind w:left="735" w:right="395"/>
        <w:jc w:val="center"/>
        <w:rPr>
          <w:rFonts w:ascii="Times New Roman" w:hAnsi="Times New Roman" w:eastAsia="仿宋_GB2312" w:cs="Times New Roman"/>
          <w:color w:val="auto"/>
        </w:rPr>
      </w:pPr>
    </w:p>
    <w:tbl>
      <w:tblPr>
        <w:tblStyle w:val="19"/>
        <w:tblW w:w="8396" w:type="dxa"/>
        <w:tblInd w:w="7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30"/>
        <w:gridCol w:w="2114"/>
        <w:gridCol w:w="1882"/>
        <w:gridCol w:w="15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1" w:hRule="atLeast"/>
        </w:trPr>
        <w:tc>
          <w:tcPr>
            <w:tcW w:w="2830" w:type="dxa"/>
            <w:vAlign w:val="top"/>
          </w:tcPr>
          <w:p>
            <w:pPr>
              <w:pStyle w:val="14"/>
              <w:spacing w:line="420" w:lineRule="exact"/>
              <w:ind w:left="279" w:right="266"/>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企业名称</w:t>
            </w:r>
          </w:p>
          <w:p>
            <w:pPr>
              <w:pStyle w:val="14"/>
              <w:spacing w:line="420" w:lineRule="exact"/>
              <w:ind w:left="279" w:right="266"/>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（加盖企业公章）</w:t>
            </w:r>
          </w:p>
        </w:tc>
        <w:tc>
          <w:tcPr>
            <w:tcW w:w="2114" w:type="dxa"/>
            <w:vAlign w:val="top"/>
          </w:tcPr>
          <w:p>
            <w:pPr>
              <w:pStyle w:val="14"/>
              <w:keepNext/>
              <w:keepLines/>
              <w:spacing w:line="420" w:lineRule="exact"/>
              <w:rPr>
                <w:rFonts w:ascii="Times New Roman" w:hAnsi="Times New Roman" w:eastAsia="仿宋_GB2312" w:cs="Times New Roman"/>
                <w:color w:val="auto"/>
                <w:sz w:val="24"/>
                <w:szCs w:val="24"/>
              </w:rPr>
            </w:pPr>
          </w:p>
        </w:tc>
        <w:tc>
          <w:tcPr>
            <w:tcW w:w="1882" w:type="dxa"/>
            <w:vAlign w:val="top"/>
          </w:tcPr>
          <w:p>
            <w:pPr>
              <w:pStyle w:val="14"/>
              <w:spacing w:line="420" w:lineRule="exact"/>
              <w:ind w:left="819" w:right="85" w:hanging="720"/>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统一社会信用</w:t>
            </w:r>
          </w:p>
          <w:p>
            <w:pPr>
              <w:pStyle w:val="14"/>
              <w:spacing w:line="420" w:lineRule="exact"/>
              <w:ind w:left="819" w:right="85" w:hanging="720"/>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代码</w:t>
            </w:r>
          </w:p>
        </w:tc>
        <w:tc>
          <w:tcPr>
            <w:tcW w:w="1570" w:type="dxa"/>
            <w:vAlign w:val="top"/>
          </w:tcPr>
          <w:p>
            <w:pPr>
              <w:pStyle w:val="14"/>
              <w:spacing w:line="420" w:lineRule="exact"/>
              <w:rPr>
                <w:rFonts w:ascii="Times New Roman" w:hAnsi="Times New Roman" w:eastAsia="仿宋_GB2312" w:cs="Times New Roman"/>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396" w:type="dxa"/>
            <w:gridSpan w:val="4"/>
            <w:vAlign w:val="top"/>
          </w:tcPr>
          <w:p>
            <w:pPr>
              <w:pStyle w:val="14"/>
              <w:spacing w:line="420" w:lineRule="exact"/>
              <w:ind w:firstLine="4560" w:firstLineChars="1900"/>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拟开户情况（企业填写）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3" w:hRule="atLeast"/>
        </w:trPr>
        <w:tc>
          <w:tcPr>
            <w:tcW w:w="2830" w:type="dxa"/>
            <w:vAlign w:val="top"/>
          </w:tcPr>
          <w:p>
            <w:pPr>
              <w:pStyle w:val="14"/>
              <w:spacing w:line="420" w:lineRule="exact"/>
              <w:ind w:left="299"/>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境外开户银行名称</w:t>
            </w:r>
          </w:p>
          <w:p>
            <w:pPr>
              <w:pStyle w:val="14"/>
              <w:spacing w:line="420" w:lineRule="exact"/>
              <w:ind w:left="419"/>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（中文或英文）</w:t>
            </w:r>
          </w:p>
        </w:tc>
        <w:tc>
          <w:tcPr>
            <w:tcW w:w="5566" w:type="dxa"/>
            <w:gridSpan w:val="3"/>
            <w:vAlign w:val="top"/>
          </w:tcPr>
          <w:p>
            <w:pPr>
              <w:pStyle w:val="14"/>
              <w:spacing w:line="420" w:lineRule="exact"/>
              <w:rPr>
                <w:rFonts w:ascii="Times New Roman" w:hAnsi="Times New Roman" w:eastAsia="仿宋_GB2312" w:cs="Times New Roman"/>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6" w:hRule="atLeast"/>
        </w:trPr>
        <w:tc>
          <w:tcPr>
            <w:tcW w:w="2830" w:type="dxa"/>
            <w:vAlign w:val="top"/>
          </w:tcPr>
          <w:p>
            <w:pPr>
              <w:pStyle w:val="14"/>
              <w:spacing w:line="420" w:lineRule="exact"/>
              <w:ind w:left="299"/>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境外开户银行代码</w:t>
            </w:r>
          </w:p>
          <w:p>
            <w:pPr>
              <w:pStyle w:val="14"/>
              <w:spacing w:line="420" w:lineRule="exact"/>
              <w:ind w:left="390"/>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（SWIFT CODE</w:t>
            </w:r>
            <w:r>
              <w:rPr>
                <w:rFonts w:ascii="Times New Roman" w:hAnsi="Times New Roman" w:eastAsia="仿宋_GB2312" w:cs="Times New Roman"/>
                <w:color w:val="auto"/>
                <w:spacing w:val="-30"/>
                <w:sz w:val="24"/>
                <w:szCs w:val="24"/>
              </w:rPr>
              <w:t xml:space="preserve"> 或</w:t>
            </w:r>
          </w:p>
          <w:p>
            <w:pPr>
              <w:pStyle w:val="14"/>
              <w:spacing w:line="420" w:lineRule="exact"/>
              <w:ind w:left="299"/>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金融机构标识码）</w:t>
            </w:r>
          </w:p>
        </w:tc>
        <w:tc>
          <w:tcPr>
            <w:tcW w:w="5566" w:type="dxa"/>
            <w:gridSpan w:val="3"/>
            <w:vAlign w:val="top"/>
          </w:tcPr>
          <w:p>
            <w:pPr>
              <w:pStyle w:val="14"/>
              <w:spacing w:line="420" w:lineRule="exact"/>
              <w:rPr>
                <w:rFonts w:ascii="Times New Roman" w:hAnsi="Times New Roman" w:eastAsia="仿宋_GB2312" w:cs="Times New Roman"/>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2830" w:type="dxa"/>
            <w:vAlign w:val="top"/>
          </w:tcPr>
          <w:p>
            <w:pPr>
              <w:pStyle w:val="14"/>
              <w:spacing w:line="420" w:lineRule="exact"/>
              <w:ind w:left="539"/>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境外开户户名</w:t>
            </w:r>
          </w:p>
          <w:p>
            <w:pPr>
              <w:pStyle w:val="14"/>
              <w:spacing w:line="420" w:lineRule="exact"/>
              <w:ind w:left="419"/>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（中文或英文）</w:t>
            </w:r>
          </w:p>
        </w:tc>
        <w:tc>
          <w:tcPr>
            <w:tcW w:w="5566" w:type="dxa"/>
            <w:gridSpan w:val="3"/>
            <w:vAlign w:val="top"/>
          </w:tcPr>
          <w:p>
            <w:pPr>
              <w:pStyle w:val="14"/>
              <w:spacing w:line="420" w:lineRule="exact"/>
              <w:rPr>
                <w:rFonts w:ascii="Times New Roman" w:hAnsi="Times New Roman" w:eastAsia="仿宋_GB2312" w:cs="Times New Roman"/>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3" w:hRule="atLeast"/>
        </w:trPr>
        <w:tc>
          <w:tcPr>
            <w:tcW w:w="2830" w:type="dxa"/>
            <w:vAlign w:val="top"/>
          </w:tcPr>
          <w:p>
            <w:pPr>
              <w:pStyle w:val="14"/>
              <w:spacing w:line="420" w:lineRule="exact"/>
              <w:ind w:right="643" w:firstLine="240" w:firstLineChars="100"/>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境外开户</w:t>
            </w:r>
          </w:p>
          <w:p>
            <w:pPr>
              <w:pStyle w:val="14"/>
              <w:spacing w:line="420" w:lineRule="exact"/>
              <w:ind w:right="643" w:firstLine="240" w:firstLineChars="100"/>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国别或地区</w:t>
            </w:r>
          </w:p>
        </w:tc>
        <w:tc>
          <w:tcPr>
            <w:tcW w:w="5566" w:type="dxa"/>
            <w:gridSpan w:val="3"/>
            <w:vAlign w:val="top"/>
          </w:tcPr>
          <w:p>
            <w:pPr>
              <w:pStyle w:val="14"/>
              <w:spacing w:line="420" w:lineRule="exact"/>
              <w:rPr>
                <w:rFonts w:ascii="Times New Roman" w:hAnsi="Times New Roman" w:eastAsia="仿宋_GB2312" w:cs="Times New Roman"/>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3" w:hRule="atLeast"/>
        </w:trPr>
        <w:tc>
          <w:tcPr>
            <w:tcW w:w="2830" w:type="dxa"/>
            <w:vAlign w:val="top"/>
          </w:tcPr>
          <w:p>
            <w:pPr>
              <w:pStyle w:val="14"/>
              <w:spacing w:line="420" w:lineRule="exact"/>
              <w:ind w:left="299"/>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境外开户银行地址</w:t>
            </w:r>
          </w:p>
          <w:p>
            <w:pPr>
              <w:pStyle w:val="14"/>
              <w:spacing w:line="420" w:lineRule="exact"/>
              <w:ind w:left="419"/>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（中文或英文）</w:t>
            </w:r>
          </w:p>
        </w:tc>
        <w:tc>
          <w:tcPr>
            <w:tcW w:w="5566" w:type="dxa"/>
            <w:gridSpan w:val="3"/>
            <w:vAlign w:val="top"/>
          </w:tcPr>
          <w:p>
            <w:pPr>
              <w:pStyle w:val="14"/>
              <w:spacing w:line="420" w:lineRule="exact"/>
              <w:rPr>
                <w:rFonts w:ascii="Times New Roman" w:hAnsi="Times New Roman" w:eastAsia="仿宋_GB2312" w:cs="Times New Roman"/>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8396" w:type="dxa"/>
            <w:gridSpan w:val="4"/>
            <w:vAlign w:val="top"/>
          </w:tcPr>
          <w:p>
            <w:pPr>
              <w:pStyle w:val="14"/>
              <w:spacing w:line="420" w:lineRule="exact"/>
              <w:ind w:left="2856" w:right="2844"/>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外汇局登记情况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0" w:hRule="atLeast"/>
        </w:trPr>
        <w:tc>
          <w:tcPr>
            <w:tcW w:w="8396" w:type="dxa"/>
            <w:gridSpan w:val="4"/>
            <w:vAlign w:val="top"/>
          </w:tcPr>
          <w:p>
            <w:pPr>
              <w:pStyle w:val="14"/>
              <w:tabs>
                <w:tab w:val="left" w:pos="7724"/>
              </w:tabs>
              <w:spacing w:line="420" w:lineRule="exact"/>
              <w:ind w:left="44"/>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□年度累计收入存放境外规模为</w:t>
            </w:r>
            <w:r>
              <w:rPr>
                <w:rFonts w:ascii="Times New Roman" w:hAnsi="Times New Roman" w:eastAsia="仿宋_GB2312" w:cs="Times New Roman"/>
                <w:color w:val="auto"/>
                <w:sz w:val="24"/>
                <w:szCs w:val="24"/>
                <w:u w:val="single"/>
              </w:rPr>
              <w:t xml:space="preserve"> </w:t>
            </w:r>
            <w:r>
              <w:rPr>
                <w:rFonts w:ascii="Times New Roman" w:hAnsi="Times New Roman" w:eastAsia="仿宋_GB2312" w:cs="Times New Roman"/>
                <w:color w:val="auto"/>
                <w:sz w:val="24"/>
                <w:szCs w:val="24"/>
                <w:u w:val="single"/>
              </w:rPr>
              <w:tab/>
            </w:r>
            <w:r>
              <w:rPr>
                <w:rFonts w:ascii="Times New Roman" w:hAnsi="Times New Roman" w:eastAsia="仿宋_GB2312" w:cs="Times New Roman"/>
                <w:color w:val="auto"/>
                <w:sz w:val="24"/>
                <w:szCs w:val="24"/>
              </w:rPr>
              <w:t>。</w:t>
            </w:r>
          </w:p>
          <w:p>
            <w:pPr>
              <w:pStyle w:val="14"/>
              <w:tabs>
                <w:tab w:val="left" w:pos="8264"/>
              </w:tabs>
              <w:spacing w:line="420" w:lineRule="exact"/>
              <w:ind w:left="44"/>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□成员公司统一社会信用代码：</w:t>
            </w:r>
            <w:r>
              <w:rPr>
                <w:rFonts w:ascii="Times New Roman" w:hAnsi="Times New Roman" w:eastAsia="仿宋_GB2312" w:cs="Times New Roman"/>
                <w:color w:val="auto"/>
                <w:sz w:val="24"/>
                <w:szCs w:val="24"/>
                <w:u w:val="single"/>
              </w:rPr>
              <w:t xml:space="preserve"> </w:t>
            </w:r>
            <w:r>
              <w:rPr>
                <w:rFonts w:ascii="Times New Roman" w:hAnsi="Times New Roman" w:eastAsia="仿宋_GB2312" w:cs="Times New Roman"/>
                <w:color w:val="auto"/>
                <w:sz w:val="24"/>
                <w:szCs w:val="24"/>
                <w:u w:val="single"/>
              </w:rPr>
              <w:tab/>
            </w:r>
          </w:p>
          <w:p>
            <w:pPr>
              <w:pStyle w:val="14"/>
              <w:tabs>
                <w:tab w:val="left" w:pos="7724"/>
              </w:tabs>
              <w:spacing w:line="420" w:lineRule="exact"/>
              <w:ind w:left="44"/>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u w:val="single"/>
              </w:rPr>
              <w:t xml:space="preserve"> </w:t>
            </w:r>
            <w:r>
              <w:rPr>
                <w:rFonts w:ascii="Times New Roman" w:hAnsi="Times New Roman" w:eastAsia="仿宋_GB2312" w:cs="Times New Roman"/>
                <w:color w:val="auto"/>
                <w:sz w:val="24"/>
                <w:szCs w:val="24"/>
                <w:u w:val="single"/>
              </w:rPr>
              <w:tab/>
            </w:r>
            <w:r>
              <w:rPr>
                <w:rFonts w:ascii="Times New Roman" w:hAnsi="Times New Roman" w:eastAsia="仿宋_GB2312" w:cs="Times New Roman"/>
                <w:color w:val="auto"/>
                <w:sz w:val="24"/>
                <w:szCs w:val="24"/>
              </w:rPr>
              <w:t>。</w:t>
            </w:r>
          </w:p>
          <w:p>
            <w:pPr>
              <w:pStyle w:val="14"/>
              <w:spacing w:line="420" w:lineRule="exact"/>
              <w:ind w:left="44"/>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□同意企业在上述银行开立收入存放境外账户。</w:t>
            </w:r>
          </w:p>
          <w:p>
            <w:pPr>
              <w:pStyle w:val="14"/>
              <w:tabs>
                <w:tab w:val="left" w:pos="5324"/>
              </w:tabs>
              <w:spacing w:line="420" w:lineRule="exact"/>
              <w:ind w:left="44"/>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□其他：</w:t>
            </w:r>
            <w:r>
              <w:rPr>
                <w:rFonts w:ascii="Times New Roman" w:hAnsi="Times New Roman" w:eastAsia="仿宋_GB2312" w:cs="Times New Roman"/>
                <w:color w:val="auto"/>
                <w:sz w:val="24"/>
                <w:szCs w:val="24"/>
                <w:u w:val="single"/>
              </w:rPr>
              <w:t xml:space="preserve"> </w:t>
            </w:r>
            <w:r>
              <w:rPr>
                <w:rFonts w:ascii="Times New Roman" w:hAnsi="Times New Roman" w:eastAsia="仿宋_GB2312" w:cs="Times New Roman"/>
                <w:color w:val="auto"/>
                <w:sz w:val="24"/>
                <w:szCs w:val="24"/>
                <w:u w:val="single"/>
              </w:rPr>
              <w:tab/>
            </w:r>
            <w:r>
              <w:rPr>
                <w:rFonts w:ascii="Times New Roman" w:hAnsi="Times New Roman" w:eastAsia="仿宋_GB2312" w:cs="Times New Roman"/>
                <w:color w:val="auto"/>
                <w:sz w:val="24"/>
                <w:szCs w:val="24"/>
              </w:rPr>
              <w:t>。</w:t>
            </w:r>
          </w:p>
          <w:p>
            <w:pPr>
              <w:pStyle w:val="14"/>
              <w:spacing w:line="420" w:lineRule="exact"/>
              <w:ind w:firstLine="3000" w:firstLineChars="1250"/>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外汇局（盖章）</w:t>
            </w:r>
          </w:p>
          <w:p>
            <w:pPr>
              <w:pStyle w:val="14"/>
              <w:tabs>
                <w:tab w:val="left" w:pos="5615"/>
              </w:tabs>
              <w:spacing w:line="420" w:lineRule="exact"/>
              <w:ind w:left="3679" w:leftChars="1752" w:right="1482"/>
              <w:rPr>
                <w:rFonts w:hint="eastAsia" w:ascii="Times New Roman" w:hAnsi="Times New Roman" w:eastAsia="仿宋_GB2312" w:cs="Times New Roman"/>
                <w:color w:val="auto"/>
                <w:spacing w:val="-17"/>
                <w:sz w:val="24"/>
                <w:szCs w:val="24"/>
              </w:rPr>
            </w:pPr>
            <w:r>
              <w:rPr>
                <w:rFonts w:ascii="Times New Roman" w:hAnsi="Times New Roman" w:eastAsia="仿宋_GB2312" w:cs="Times New Roman"/>
                <w:color w:val="auto"/>
                <w:sz w:val="24"/>
                <w:szCs w:val="24"/>
              </w:rPr>
              <w:t>经办人：</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复核人</w:t>
            </w:r>
            <w:r>
              <w:rPr>
                <w:rFonts w:ascii="Times New Roman" w:hAnsi="Times New Roman" w:eastAsia="仿宋_GB2312" w:cs="Times New Roman"/>
                <w:color w:val="auto"/>
                <w:spacing w:val="-17"/>
                <w:sz w:val="24"/>
                <w:szCs w:val="24"/>
              </w:rPr>
              <w:t xml:space="preserve">： </w:t>
            </w:r>
          </w:p>
          <w:p>
            <w:pPr>
              <w:pStyle w:val="14"/>
              <w:tabs>
                <w:tab w:val="left" w:pos="5615"/>
              </w:tabs>
              <w:spacing w:line="420" w:lineRule="exact"/>
              <w:ind w:left="3679" w:leftChars="1752" w:right="1482"/>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联系电话：</w:t>
            </w:r>
          </w:p>
          <w:p>
            <w:pPr>
              <w:pStyle w:val="14"/>
              <w:tabs>
                <w:tab w:val="left" w:pos="5876"/>
                <w:tab w:val="left" w:pos="6596"/>
              </w:tabs>
              <w:spacing w:line="420" w:lineRule="exact"/>
              <w:ind w:left="5156"/>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年</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月</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日</w:t>
            </w:r>
          </w:p>
        </w:tc>
      </w:tr>
    </w:tbl>
    <w:p>
      <w:pPr>
        <w:spacing w:line="420" w:lineRule="exact"/>
        <w:ind w:left="724" w:leftChars="345" w:firstLine="1080" w:firstLineChars="450"/>
        <w:rPr>
          <w:rFonts w:ascii="Times New Roman" w:hAnsi="Times New Roman" w:eastAsia="仿宋_GB2312" w:cs="Times New Roman"/>
          <w:color w:val="auto"/>
          <w:sz w:val="32"/>
          <w:szCs w:val="32"/>
        </w:rPr>
      </w:pPr>
      <w:r>
        <w:rPr>
          <w:rFonts w:ascii="Times New Roman" w:hAnsi="Times New Roman" w:eastAsia="仿宋_GB2312" w:cs="Times New Roman"/>
          <w:color w:val="auto"/>
          <w:sz w:val="24"/>
          <w:szCs w:val="24"/>
        </w:rPr>
        <w:t>（一式两联 第一联：企业留存联 第二联：外汇局留存联）</w:t>
      </w:r>
    </w:p>
    <w:p>
      <w:pPr>
        <w:rPr>
          <w:color w:val="auto"/>
        </w:rPr>
      </w:pPr>
    </w:p>
    <w:p>
      <w:pPr>
        <w:pStyle w:val="2"/>
        <w:spacing w:line="600" w:lineRule="exact"/>
        <w:ind w:left="724" w:leftChars="345" w:firstLine="640" w:firstLineChars="200"/>
        <w:rPr>
          <w:rFonts w:ascii="Times New Roman" w:hAnsi="Times New Roman" w:eastAsia="仿宋_GB2312" w:cs="Times New Roman"/>
          <w:color w:val="auto"/>
          <w:sz w:val="32"/>
          <w:szCs w:val="32"/>
        </w:rPr>
      </w:pPr>
    </w:p>
    <w:p>
      <w:pPr>
        <w:rPr>
          <w:rFonts w:ascii="Times New Roman" w:hAnsi="Times New Roman" w:cs="Times New Roman"/>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JP Regular">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rPr>
        <w:lang w:val="zh-CN"/>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14</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GQ4YjIwYjI4ZmE4OWQ2YmE1MDViYjU3ZGNiYjhlODIifQ=="/>
  </w:docVars>
  <w:rsids>
    <w:rsidRoot w:val="009B19B3"/>
    <w:rsid w:val="000003C0"/>
    <w:rsid w:val="000021D6"/>
    <w:rsid w:val="00004BD5"/>
    <w:rsid w:val="00007A67"/>
    <w:rsid w:val="000233D5"/>
    <w:rsid w:val="00027E45"/>
    <w:rsid w:val="000351A4"/>
    <w:rsid w:val="00037A07"/>
    <w:rsid w:val="0004414D"/>
    <w:rsid w:val="00050681"/>
    <w:rsid w:val="00061C5F"/>
    <w:rsid w:val="000652D6"/>
    <w:rsid w:val="00070716"/>
    <w:rsid w:val="000B0E34"/>
    <w:rsid w:val="000D3467"/>
    <w:rsid w:val="000D61BB"/>
    <w:rsid w:val="000E2AD6"/>
    <w:rsid w:val="000E2D98"/>
    <w:rsid w:val="000E55BC"/>
    <w:rsid w:val="000E5910"/>
    <w:rsid w:val="000F1C17"/>
    <w:rsid w:val="000F24B5"/>
    <w:rsid w:val="00102A7C"/>
    <w:rsid w:val="00106460"/>
    <w:rsid w:val="001156C5"/>
    <w:rsid w:val="001172B3"/>
    <w:rsid w:val="00134BF3"/>
    <w:rsid w:val="00140DE8"/>
    <w:rsid w:val="001418D3"/>
    <w:rsid w:val="001437E6"/>
    <w:rsid w:val="00154329"/>
    <w:rsid w:val="00163202"/>
    <w:rsid w:val="001870AC"/>
    <w:rsid w:val="00193A89"/>
    <w:rsid w:val="00195B37"/>
    <w:rsid w:val="001A1E83"/>
    <w:rsid w:val="001A61DE"/>
    <w:rsid w:val="001C084E"/>
    <w:rsid w:val="001C2B84"/>
    <w:rsid w:val="001C3568"/>
    <w:rsid w:val="001C4BB1"/>
    <w:rsid w:val="001D095F"/>
    <w:rsid w:val="001D2DD9"/>
    <w:rsid w:val="001D56F0"/>
    <w:rsid w:val="001D5C07"/>
    <w:rsid w:val="001E37D7"/>
    <w:rsid w:val="001F1B4B"/>
    <w:rsid w:val="001F2A75"/>
    <w:rsid w:val="00212F1A"/>
    <w:rsid w:val="00215F91"/>
    <w:rsid w:val="002178A9"/>
    <w:rsid w:val="002226D7"/>
    <w:rsid w:val="0023361F"/>
    <w:rsid w:val="00233CB8"/>
    <w:rsid w:val="00233F9E"/>
    <w:rsid w:val="00235C6D"/>
    <w:rsid w:val="002453CB"/>
    <w:rsid w:val="00253212"/>
    <w:rsid w:val="00254875"/>
    <w:rsid w:val="00256B77"/>
    <w:rsid w:val="002654CB"/>
    <w:rsid w:val="00266E25"/>
    <w:rsid w:val="00273E50"/>
    <w:rsid w:val="002756E4"/>
    <w:rsid w:val="002A0834"/>
    <w:rsid w:val="002B0553"/>
    <w:rsid w:val="002B05F7"/>
    <w:rsid w:val="002B3F08"/>
    <w:rsid w:val="002B4E65"/>
    <w:rsid w:val="002C7EAF"/>
    <w:rsid w:val="002F2577"/>
    <w:rsid w:val="002F6202"/>
    <w:rsid w:val="00316E50"/>
    <w:rsid w:val="00316F0E"/>
    <w:rsid w:val="00321272"/>
    <w:rsid w:val="00325547"/>
    <w:rsid w:val="00326B8C"/>
    <w:rsid w:val="003314E4"/>
    <w:rsid w:val="00331E1E"/>
    <w:rsid w:val="003371EB"/>
    <w:rsid w:val="00337ED9"/>
    <w:rsid w:val="00345800"/>
    <w:rsid w:val="003508A5"/>
    <w:rsid w:val="00354A7C"/>
    <w:rsid w:val="00364BB9"/>
    <w:rsid w:val="00377012"/>
    <w:rsid w:val="00387FD0"/>
    <w:rsid w:val="00396CD5"/>
    <w:rsid w:val="003A1721"/>
    <w:rsid w:val="003A2E79"/>
    <w:rsid w:val="003A4630"/>
    <w:rsid w:val="003A496B"/>
    <w:rsid w:val="003B1325"/>
    <w:rsid w:val="003B6057"/>
    <w:rsid w:val="003C3480"/>
    <w:rsid w:val="003C5C1F"/>
    <w:rsid w:val="003D1EDA"/>
    <w:rsid w:val="003D1F9B"/>
    <w:rsid w:val="003D2BBB"/>
    <w:rsid w:val="003D3BB2"/>
    <w:rsid w:val="003D7B66"/>
    <w:rsid w:val="00404086"/>
    <w:rsid w:val="0040580D"/>
    <w:rsid w:val="00413782"/>
    <w:rsid w:val="00417C88"/>
    <w:rsid w:val="004311DF"/>
    <w:rsid w:val="00436919"/>
    <w:rsid w:val="00437717"/>
    <w:rsid w:val="0044021E"/>
    <w:rsid w:val="00445A64"/>
    <w:rsid w:val="0045411C"/>
    <w:rsid w:val="004573E4"/>
    <w:rsid w:val="00460F9A"/>
    <w:rsid w:val="004735FC"/>
    <w:rsid w:val="004924A7"/>
    <w:rsid w:val="004935B2"/>
    <w:rsid w:val="00497B08"/>
    <w:rsid w:val="00497FC6"/>
    <w:rsid w:val="004A6503"/>
    <w:rsid w:val="004B1BDA"/>
    <w:rsid w:val="004B3A9F"/>
    <w:rsid w:val="004C5477"/>
    <w:rsid w:val="004D3F83"/>
    <w:rsid w:val="004E4AD4"/>
    <w:rsid w:val="004E746C"/>
    <w:rsid w:val="004E7E2D"/>
    <w:rsid w:val="00512742"/>
    <w:rsid w:val="00512786"/>
    <w:rsid w:val="00514ABC"/>
    <w:rsid w:val="005263C0"/>
    <w:rsid w:val="00544909"/>
    <w:rsid w:val="00551A5A"/>
    <w:rsid w:val="0056706F"/>
    <w:rsid w:val="00567128"/>
    <w:rsid w:val="005845DF"/>
    <w:rsid w:val="00584DF2"/>
    <w:rsid w:val="0058649D"/>
    <w:rsid w:val="00593352"/>
    <w:rsid w:val="00595487"/>
    <w:rsid w:val="005A32AB"/>
    <w:rsid w:val="005A3A70"/>
    <w:rsid w:val="005A61D4"/>
    <w:rsid w:val="005B322C"/>
    <w:rsid w:val="005C4A17"/>
    <w:rsid w:val="005E1F6F"/>
    <w:rsid w:val="005E6464"/>
    <w:rsid w:val="005F1522"/>
    <w:rsid w:val="005F1DCD"/>
    <w:rsid w:val="005F3C89"/>
    <w:rsid w:val="005F5952"/>
    <w:rsid w:val="006017F9"/>
    <w:rsid w:val="00603617"/>
    <w:rsid w:val="00611E81"/>
    <w:rsid w:val="0064768C"/>
    <w:rsid w:val="006509E6"/>
    <w:rsid w:val="00654AA7"/>
    <w:rsid w:val="006553EF"/>
    <w:rsid w:val="006603EC"/>
    <w:rsid w:val="006667EE"/>
    <w:rsid w:val="006675D3"/>
    <w:rsid w:val="00673F17"/>
    <w:rsid w:val="00675C64"/>
    <w:rsid w:val="006847AE"/>
    <w:rsid w:val="00693E03"/>
    <w:rsid w:val="00696646"/>
    <w:rsid w:val="00696A7B"/>
    <w:rsid w:val="006B1D92"/>
    <w:rsid w:val="006B28AD"/>
    <w:rsid w:val="006B3076"/>
    <w:rsid w:val="006B5EF5"/>
    <w:rsid w:val="006B6370"/>
    <w:rsid w:val="006B71D2"/>
    <w:rsid w:val="006C4C39"/>
    <w:rsid w:val="006C5121"/>
    <w:rsid w:val="006D3427"/>
    <w:rsid w:val="006D6A5B"/>
    <w:rsid w:val="006E7C82"/>
    <w:rsid w:val="006F61C6"/>
    <w:rsid w:val="0071311B"/>
    <w:rsid w:val="007157B6"/>
    <w:rsid w:val="0072541C"/>
    <w:rsid w:val="00732949"/>
    <w:rsid w:val="0073340E"/>
    <w:rsid w:val="00735659"/>
    <w:rsid w:val="00735A28"/>
    <w:rsid w:val="007510E5"/>
    <w:rsid w:val="007544BC"/>
    <w:rsid w:val="007632A0"/>
    <w:rsid w:val="007634FF"/>
    <w:rsid w:val="0076451B"/>
    <w:rsid w:val="007704CD"/>
    <w:rsid w:val="0078686C"/>
    <w:rsid w:val="00795D93"/>
    <w:rsid w:val="007A1978"/>
    <w:rsid w:val="007B0E48"/>
    <w:rsid w:val="007B0EBE"/>
    <w:rsid w:val="007B6675"/>
    <w:rsid w:val="007D1D7B"/>
    <w:rsid w:val="007E7441"/>
    <w:rsid w:val="007F233E"/>
    <w:rsid w:val="0080044E"/>
    <w:rsid w:val="0081373A"/>
    <w:rsid w:val="00815287"/>
    <w:rsid w:val="00824D07"/>
    <w:rsid w:val="008269C3"/>
    <w:rsid w:val="00827911"/>
    <w:rsid w:val="00832D42"/>
    <w:rsid w:val="00833A95"/>
    <w:rsid w:val="00834DF4"/>
    <w:rsid w:val="00837990"/>
    <w:rsid w:val="00841DE9"/>
    <w:rsid w:val="00842C2F"/>
    <w:rsid w:val="00846D5D"/>
    <w:rsid w:val="00864463"/>
    <w:rsid w:val="00865B37"/>
    <w:rsid w:val="00871300"/>
    <w:rsid w:val="00871BB2"/>
    <w:rsid w:val="0087457D"/>
    <w:rsid w:val="008767C3"/>
    <w:rsid w:val="00876926"/>
    <w:rsid w:val="008A068A"/>
    <w:rsid w:val="008A0A76"/>
    <w:rsid w:val="008A53DB"/>
    <w:rsid w:val="008A6143"/>
    <w:rsid w:val="008A6DDB"/>
    <w:rsid w:val="008A6EEC"/>
    <w:rsid w:val="008B019D"/>
    <w:rsid w:val="008B4359"/>
    <w:rsid w:val="008C33D3"/>
    <w:rsid w:val="008D285E"/>
    <w:rsid w:val="008E0D30"/>
    <w:rsid w:val="008E324F"/>
    <w:rsid w:val="008E57E6"/>
    <w:rsid w:val="008E6700"/>
    <w:rsid w:val="008F3E08"/>
    <w:rsid w:val="008F5475"/>
    <w:rsid w:val="00916523"/>
    <w:rsid w:val="009245CA"/>
    <w:rsid w:val="009347F8"/>
    <w:rsid w:val="009379DE"/>
    <w:rsid w:val="00945AC3"/>
    <w:rsid w:val="009516B1"/>
    <w:rsid w:val="009545B6"/>
    <w:rsid w:val="009568D7"/>
    <w:rsid w:val="00960764"/>
    <w:rsid w:val="009640DB"/>
    <w:rsid w:val="00966422"/>
    <w:rsid w:val="00970C40"/>
    <w:rsid w:val="009732FA"/>
    <w:rsid w:val="00976900"/>
    <w:rsid w:val="00977A16"/>
    <w:rsid w:val="00981057"/>
    <w:rsid w:val="00984619"/>
    <w:rsid w:val="009849B6"/>
    <w:rsid w:val="00985C45"/>
    <w:rsid w:val="00986690"/>
    <w:rsid w:val="0098731F"/>
    <w:rsid w:val="009976AB"/>
    <w:rsid w:val="009A32EE"/>
    <w:rsid w:val="009A6053"/>
    <w:rsid w:val="009B0566"/>
    <w:rsid w:val="009B19B3"/>
    <w:rsid w:val="009B4EC4"/>
    <w:rsid w:val="009D2CA3"/>
    <w:rsid w:val="009D7865"/>
    <w:rsid w:val="009F0EE6"/>
    <w:rsid w:val="00A011E0"/>
    <w:rsid w:val="00A019DC"/>
    <w:rsid w:val="00A053EC"/>
    <w:rsid w:val="00A20682"/>
    <w:rsid w:val="00A20869"/>
    <w:rsid w:val="00A21B4B"/>
    <w:rsid w:val="00A23CC9"/>
    <w:rsid w:val="00A31633"/>
    <w:rsid w:val="00A333A8"/>
    <w:rsid w:val="00A33C4E"/>
    <w:rsid w:val="00A42BA0"/>
    <w:rsid w:val="00A437F1"/>
    <w:rsid w:val="00A4638A"/>
    <w:rsid w:val="00A56380"/>
    <w:rsid w:val="00A724BB"/>
    <w:rsid w:val="00A76F2C"/>
    <w:rsid w:val="00A828DC"/>
    <w:rsid w:val="00A85917"/>
    <w:rsid w:val="00A86C39"/>
    <w:rsid w:val="00AA2782"/>
    <w:rsid w:val="00AB1454"/>
    <w:rsid w:val="00AC2C69"/>
    <w:rsid w:val="00AD6356"/>
    <w:rsid w:val="00AD7F95"/>
    <w:rsid w:val="00AE1454"/>
    <w:rsid w:val="00AE1E55"/>
    <w:rsid w:val="00AF3753"/>
    <w:rsid w:val="00AF57E1"/>
    <w:rsid w:val="00B03FA1"/>
    <w:rsid w:val="00B047C5"/>
    <w:rsid w:val="00B063D5"/>
    <w:rsid w:val="00B11981"/>
    <w:rsid w:val="00B14564"/>
    <w:rsid w:val="00B150F1"/>
    <w:rsid w:val="00B1706B"/>
    <w:rsid w:val="00B241DC"/>
    <w:rsid w:val="00B24922"/>
    <w:rsid w:val="00B327C8"/>
    <w:rsid w:val="00B35ADB"/>
    <w:rsid w:val="00B37501"/>
    <w:rsid w:val="00B43476"/>
    <w:rsid w:val="00B44E28"/>
    <w:rsid w:val="00B525C6"/>
    <w:rsid w:val="00B61130"/>
    <w:rsid w:val="00B614A1"/>
    <w:rsid w:val="00B73A28"/>
    <w:rsid w:val="00B84802"/>
    <w:rsid w:val="00B87216"/>
    <w:rsid w:val="00B94AEF"/>
    <w:rsid w:val="00BA5B48"/>
    <w:rsid w:val="00BB3C0B"/>
    <w:rsid w:val="00BB6FB7"/>
    <w:rsid w:val="00BB71AE"/>
    <w:rsid w:val="00BC4ACD"/>
    <w:rsid w:val="00BD1960"/>
    <w:rsid w:val="00BE47E8"/>
    <w:rsid w:val="00BF58A4"/>
    <w:rsid w:val="00BF69EA"/>
    <w:rsid w:val="00C01288"/>
    <w:rsid w:val="00C20EC9"/>
    <w:rsid w:val="00C266D2"/>
    <w:rsid w:val="00C26BC0"/>
    <w:rsid w:val="00C314B5"/>
    <w:rsid w:val="00C31ECE"/>
    <w:rsid w:val="00C34F82"/>
    <w:rsid w:val="00C4111F"/>
    <w:rsid w:val="00C5180B"/>
    <w:rsid w:val="00C545CE"/>
    <w:rsid w:val="00C5521A"/>
    <w:rsid w:val="00C57574"/>
    <w:rsid w:val="00C659B4"/>
    <w:rsid w:val="00C66EDA"/>
    <w:rsid w:val="00C71261"/>
    <w:rsid w:val="00C903FE"/>
    <w:rsid w:val="00C90E8C"/>
    <w:rsid w:val="00C95743"/>
    <w:rsid w:val="00CA4D41"/>
    <w:rsid w:val="00CA5928"/>
    <w:rsid w:val="00CB1ED8"/>
    <w:rsid w:val="00CB751C"/>
    <w:rsid w:val="00CC02F5"/>
    <w:rsid w:val="00CC2FE6"/>
    <w:rsid w:val="00CD6F3B"/>
    <w:rsid w:val="00CE1482"/>
    <w:rsid w:val="00CE55F6"/>
    <w:rsid w:val="00CF249D"/>
    <w:rsid w:val="00CF5E83"/>
    <w:rsid w:val="00D007CE"/>
    <w:rsid w:val="00D01106"/>
    <w:rsid w:val="00D07C35"/>
    <w:rsid w:val="00D143B3"/>
    <w:rsid w:val="00D16C12"/>
    <w:rsid w:val="00D224E4"/>
    <w:rsid w:val="00D3006E"/>
    <w:rsid w:val="00D327EC"/>
    <w:rsid w:val="00D3615F"/>
    <w:rsid w:val="00D402BA"/>
    <w:rsid w:val="00D408D0"/>
    <w:rsid w:val="00D55E8C"/>
    <w:rsid w:val="00D80592"/>
    <w:rsid w:val="00D81AB8"/>
    <w:rsid w:val="00D85E50"/>
    <w:rsid w:val="00D92ED1"/>
    <w:rsid w:val="00DA5B01"/>
    <w:rsid w:val="00DB2D9A"/>
    <w:rsid w:val="00DD10B4"/>
    <w:rsid w:val="00DD4792"/>
    <w:rsid w:val="00DD6A30"/>
    <w:rsid w:val="00DE791B"/>
    <w:rsid w:val="00DF15BD"/>
    <w:rsid w:val="00DF7356"/>
    <w:rsid w:val="00E02AE9"/>
    <w:rsid w:val="00E049C8"/>
    <w:rsid w:val="00E129F8"/>
    <w:rsid w:val="00E144BB"/>
    <w:rsid w:val="00E27EE9"/>
    <w:rsid w:val="00E30DEB"/>
    <w:rsid w:val="00E33EFE"/>
    <w:rsid w:val="00E430A6"/>
    <w:rsid w:val="00E46A26"/>
    <w:rsid w:val="00E505E0"/>
    <w:rsid w:val="00E55B0D"/>
    <w:rsid w:val="00E61CED"/>
    <w:rsid w:val="00E645AF"/>
    <w:rsid w:val="00E75B2F"/>
    <w:rsid w:val="00E77119"/>
    <w:rsid w:val="00E92470"/>
    <w:rsid w:val="00E955CC"/>
    <w:rsid w:val="00EA12C1"/>
    <w:rsid w:val="00EA2A2D"/>
    <w:rsid w:val="00EA3634"/>
    <w:rsid w:val="00EA5CDF"/>
    <w:rsid w:val="00EA6B80"/>
    <w:rsid w:val="00EB156E"/>
    <w:rsid w:val="00EB574D"/>
    <w:rsid w:val="00EB6DFA"/>
    <w:rsid w:val="00EC0133"/>
    <w:rsid w:val="00EC36EB"/>
    <w:rsid w:val="00EC7A79"/>
    <w:rsid w:val="00ED3C09"/>
    <w:rsid w:val="00EE1E1E"/>
    <w:rsid w:val="00EE29F0"/>
    <w:rsid w:val="00EE36F3"/>
    <w:rsid w:val="00EE69DD"/>
    <w:rsid w:val="00EF5BC8"/>
    <w:rsid w:val="00F005E2"/>
    <w:rsid w:val="00F10FD7"/>
    <w:rsid w:val="00F16F75"/>
    <w:rsid w:val="00F201F4"/>
    <w:rsid w:val="00F21D92"/>
    <w:rsid w:val="00F32657"/>
    <w:rsid w:val="00F36247"/>
    <w:rsid w:val="00F405D0"/>
    <w:rsid w:val="00F4072A"/>
    <w:rsid w:val="00F416D6"/>
    <w:rsid w:val="00F424E1"/>
    <w:rsid w:val="00F45FB3"/>
    <w:rsid w:val="00F50CE9"/>
    <w:rsid w:val="00F52218"/>
    <w:rsid w:val="00F53245"/>
    <w:rsid w:val="00F5552D"/>
    <w:rsid w:val="00F61D32"/>
    <w:rsid w:val="00F622F9"/>
    <w:rsid w:val="00F62A8B"/>
    <w:rsid w:val="00F6439F"/>
    <w:rsid w:val="00F8030E"/>
    <w:rsid w:val="00F8305D"/>
    <w:rsid w:val="00F85E60"/>
    <w:rsid w:val="00F87754"/>
    <w:rsid w:val="00FA48B7"/>
    <w:rsid w:val="00FC6843"/>
    <w:rsid w:val="00FC754C"/>
    <w:rsid w:val="00FD19D2"/>
    <w:rsid w:val="00FF083E"/>
    <w:rsid w:val="00FF35CC"/>
    <w:rsid w:val="0224099A"/>
    <w:rsid w:val="02961C63"/>
    <w:rsid w:val="067F2731"/>
    <w:rsid w:val="0EEC5902"/>
    <w:rsid w:val="0F946FD9"/>
    <w:rsid w:val="0FAF3253"/>
    <w:rsid w:val="11311F96"/>
    <w:rsid w:val="17046B3B"/>
    <w:rsid w:val="1CDB3593"/>
    <w:rsid w:val="20603A0B"/>
    <w:rsid w:val="2406637B"/>
    <w:rsid w:val="254914F1"/>
    <w:rsid w:val="36A130A2"/>
    <w:rsid w:val="3996388A"/>
    <w:rsid w:val="3C0D722D"/>
    <w:rsid w:val="3DF9176C"/>
    <w:rsid w:val="3F821FA5"/>
    <w:rsid w:val="408940CF"/>
    <w:rsid w:val="41505B03"/>
    <w:rsid w:val="41F44A83"/>
    <w:rsid w:val="43F40AC5"/>
    <w:rsid w:val="447B0B22"/>
    <w:rsid w:val="46505364"/>
    <w:rsid w:val="47616255"/>
    <w:rsid w:val="48892395"/>
    <w:rsid w:val="4D154BD9"/>
    <w:rsid w:val="4FCA2B9D"/>
    <w:rsid w:val="52566D98"/>
    <w:rsid w:val="5D95430B"/>
    <w:rsid w:val="5DA614D2"/>
    <w:rsid w:val="619A694B"/>
    <w:rsid w:val="6C6D76D3"/>
    <w:rsid w:val="73433371"/>
    <w:rsid w:val="74ED147C"/>
    <w:rsid w:val="767E2767"/>
    <w:rsid w:val="76D760E6"/>
    <w:rsid w:val="7C300A7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rules v:ext="edit">
        <o:r id="V:Rule1" type="connector" idref="#Straight Connector 86"/>
        <o:r id="V:Rule2" type="connector" idref="#Straight Connector 90"/>
        <o:r id="V:Rule3" type="connector" idref="#Straight Connector 94"/>
        <o:r id="V:Rule4" type="connector" idref="#Straight Connector 88"/>
        <o:r id="V:Rule5" type="connector" idref="#Straight Connector 92"/>
        <o:r id="V:Rule6" type="connector" idref="#Straight Connector 93"/>
        <o:r id="V:Rule7" type="connector" idref="#Straight Connector 91"/>
        <o:r id="V:Rule8" type="connector" idref="#Straight Connector 87"/>
        <o:r id="V:Rule9" type="connector" idref="#Straight Connector 95"/>
        <o:r id="V:Rule10" type="connector" idref="#Straight Connector 8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ind w:left="1360"/>
    </w:pPr>
    <w:rPr>
      <w:sz w:val="30"/>
      <w:szCs w:val="30"/>
    </w:rPr>
  </w:style>
  <w:style w:type="paragraph" w:styleId="3">
    <w:name w:val="toc 3"/>
    <w:basedOn w:val="1"/>
    <w:next w:val="1"/>
    <w:unhideWhenUsed/>
    <w:qFormat/>
    <w:uiPriority w:val="39"/>
    <w:pPr>
      <w:ind w:left="840" w:leftChars="400"/>
    </w:pPr>
  </w:style>
  <w:style w:type="paragraph" w:styleId="4">
    <w:name w:val="Balloon Text"/>
    <w:basedOn w:val="1"/>
    <w:link w:val="17"/>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u w:val="single"/>
    </w:rPr>
  </w:style>
  <w:style w:type="paragraph" w:customStyle="1" w:styleId="11">
    <w:name w:val="List Paragraph"/>
    <w:basedOn w:val="1"/>
    <w:qFormat/>
    <w:uiPriority w:val="34"/>
    <w:pPr>
      <w:ind w:firstLine="420" w:firstLineChars="200"/>
    </w:pPr>
  </w:style>
  <w:style w:type="paragraph" w:customStyle="1" w:styleId="12">
    <w:name w:val="Revision"/>
    <w:hidden/>
    <w:semiHidden/>
    <w:qFormat/>
    <w:uiPriority w:val="99"/>
    <w:rPr>
      <w:rFonts w:ascii="Calibri" w:hAnsi="Calibri" w:eastAsia="宋体" w:cs="黑体"/>
      <w:kern w:val="2"/>
      <w:sz w:val="21"/>
      <w:szCs w:val="22"/>
      <w:lang w:val="en-US" w:eastAsia="zh-CN" w:bidi="ar-SA"/>
    </w:rPr>
  </w:style>
  <w:style w:type="paragraph" w:customStyle="1" w:styleId="13">
    <w:name w:val="Heading 1"/>
    <w:basedOn w:val="1"/>
    <w:qFormat/>
    <w:uiPriority w:val="1"/>
    <w:pPr>
      <w:spacing w:line="541" w:lineRule="exact"/>
      <w:ind w:left="1919" w:right="2017"/>
      <w:jc w:val="center"/>
      <w:outlineLvl w:val="1"/>
    </w:pPr>
    <w:rPr>
      <w:rFonts w:ascii="Noto Sans Mono CJK JP Regular" w:hAnsi="Noto Sans Mono CJK JP Regular" w:eastAsia="Noto Sans Mono CJK JP Regular" w:cs="Noto Sans Mono CJK JP Regular"/>
      <w:sz w:val="36"/>
      <w:szCs w:val="36"/>
    </w:rPr>
  </w:style>
  <w:style w:type="paragraph" w:customStyle="1" w:styleId="14">
    <w:name w:val="Table Paragraph"/>
    <w:basedOn w:val="1"/>
    <w:qFormat/>
    <w:uiPriority w:val="1"/>
  </w:style>
  <w:style w:type="character" w:customStyle="1" w:styleId="15">
    <w:name w:val="页眉 Char"/>
    <w:basedOn w:val="9"/>
    <w:link w:val="6"/>
    <w:qFormat/>
    <w:uiPriority w:val="99"/>
    <w:rPr>
      <w:sz w:val="18"/>
      <w:szCs w:val="18"/>
    </w:rPr>
  </w:style>
  <w:style w:type="character" w:customStyle="1" w:styleId="16">
    <w:name w:val="页脚 Char"/>
    <w:basedOn w:val="9"/>
    <w:link w:val="5"/>
    <w:qFormat/>
    <w:uiPriority w:val="99"/>
    <w:rPr>
      <w:sz w:val="18"/>
      <w:szCs w:val="18"/>
    </w:rPr>
  </w:style>
  <w:style w:type="character" w:customStyle="1" w:styleId="17">
    <w:name w:val="批注框文本 Char"/>
    <w:basedOn w:val="9"/>
    <w:link w:val="4"/>
    <w:semiHidden/>
    <w:qFormat/>
    <w:uiPriority w:val="99"/>
    <w:rPr>
      <w:sz w:val="18"/>
      <w:szCs w:val="18"/>
    </w:rPr>
  </w:style>
  <w:style w:type="character" w:customStyle="1" w:styleId="18">
    <w:name w:val="mini-outputtext"/>
    <w:basedOn w:val="9"/>
    <w:qFormat/>
    <w:uiPriority w:val="0"/>
  </w:style>
  <w:style w:type="table" w:customStyle="1" w:styleId="19">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3085</Words>
  <Characters>3324</Characters>
  <Lines>41</Lines>
  <Paragraphs>11</Paragraphs>
  <TotalTime>0</TotalTime>
  <ScaleCrop>false</ScaleCrop>
  <LinksUpToDate>false</LinksUpToDate>
  <CharactersWithSpaces>3416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2020-04-22T08:12:00Z</dcterms:created>
  <dc:creator>吴</dc:creator>
  <cp:lastModifiedBy>丁蒙/办公室/南宁/PBC</cp:lastModifiedBy>
  <cp:lastPrinted>2020-05-08T08:38:00Z</cp:lastPrinted>
  <dcterms:modified xsi:type="dcterms:W3CDTF">2023-08-30T09:45:53Z</dcterms:modified>
  <dc:title>编号：57001-2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41EB7B71D6874A148DAE8EB2DC04A1FE_12</vt:lpwstr>
  </property>
</Properties>
</file>