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jc w:val="left"/>
        <w:rPr>
          <w:rFonts w:hint="eastAsia" w:ascii="黑体" w:hAnsi="黑体" w:eastAsia="黑体" w:cs="黑体"/>
          <w:color w:val="auto"/>
          <w:sz w:val="30"/>
          <w:szCs w:val="30"/>
        </w:rPr>
      </w:pPr>
      <w:r>
        <w:rPr>
          <w:rFonts w:hint="eastAsia" w:ascii="黑体" w:hAnsi="黑体" w:eastAsia="黑体" w:cs="黑体"/>
          <w:color w:val="auto"/>
          <w:sz w:val="30"/>
          <w:szCs w:val="30"/>
        </w:rPr>
        <w:t>编号：0001711020</w:t>
      </w:r>
      <w:r>
        <w:rPr>
          <w:rFonts w:hint="eastAsia" w:ascii="黑体" w:hAnsi="黑体" w:eastAsia="黑体" w:cs="黑体"/>
          <w:color w:val="auto"/>
          <w:sz w:val="30"/>
          <w:szCs w:val="30"/>
          <w:lang w:val="en-US" w:eastAsia="zh-CN"/>
        </w:rPr>
        <w:t>04</w:t>
      </w:r>
      <w:r>
        <w:rPr>
          <w:rFonts w:hint="eastAsia" w:ascii="黑体" w:hAnsi="黑体" w:eastAsia="黑体" w:cs="黑体"/>
          <w:color w:val="auto"/>
          <w:sz w:val="30"/>
          <w:szCs w:val="30"/>
        </w:rPr>
        <w:t xml:space="preserve">             </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w:t>
      </w:r>
      <w:r>
        <w:rPr>
          <w:rFonts w:hint="default" w:ascii="Times New Roman" w:hAnsi="Times New Roman" w:eastAsia="黑体" w:cs="Times New Roman"/>
          <w:color w:val="auto"/>
          <w:sz w:val="52"/>
          <w:szCs w:val="52"/>
          <w:lang w:val="en-US" w:eastAsia="zh-CN"/>
        </w:rPr>
        <w:t>分局办理的企业经常项目资金集中和轧差结算收支业务登记</w:t>
      </w:r>
      <w:r>
        <w:rPr>
          <w:rFonts w:ascii="Times New Roman" w:hAnsi="Times New Roman" w:eastAsia="黑体" w:cs="Times New Roman"/>
          <w:color w:val="auto"/>
          <w:sz w:val="52"/>
          <w:szCs w:val="52"/>
        </w:rPr>
        <w:t xml:space="preserve">” </w:t>
      </w: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行政审批服务指南</w:t>
      </w: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p>
    <w:p>
      <w:pPr>
        <w:ind w:right="300"/>
        <w:jc w:val="center"/>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12"/>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ascii="Times New Roman" w:hAnsi="Times New Roman" w:eastAsia="仿宋_GB2312" w:cs="Times New Roman"/>
          <w:color w:val="auto"/>
          <w:sz w:val="30"/>
          <w:szCs w:val="30"/>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ind w:right="300"/>
        <w:jc w:val="center"/>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sectPr>
          <w:footerReference r:id="rId3" w:type="default"/>
          <w:pgSz w:w="11906" w:h="16838"/>
          <w:pgMar w:top="1440" w:right="1800" w:bottom="1440" w:left="1800" w:header="851" w:footer="992" w:gutter="0"/>
          <w:cols w:space="720" w:num="1"/>
          <w:docGrid w:type="lines" w:linePitch="312" w:charSpace="0"/>
        </w:sectPr>
      </w:pPr>
    </w:p>
    <w:p>
      <w:pPr>
        <w:jc w:val="lef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    一、项目信息</w:t>
      </w:r>
    </w:p>
    <w:p>
      <w:pPr>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项目名称：</w:t>
      </w:r>
      <w:r>
        <w:rPr>
          <w:rFonts w:hint="default" w:ascii="Times New Roman" w:hAnsi="Times New Roman" w:eastAsia="仿宋_GB2312" w:cs="Times New Roman"/>
          <w:color w:val="auto"/>
          <w:sz w:val="30"/>
          <w:szCs w:val="30"/>
          <w:highlight w:val="none"/>
          <w:lang w:val="en-US" w:eastAsia="zh-CN"/>
        </w:rPr>
        <w:t>经常项目特定收支业务核准</w:t>
      </w:r>
      <w:r>
        <w:rPr>
          <w:rFonts w:ascii="Times New Roman" w:hAnsi="Times New Roman" w:eastAsia="仿宋_GB2312" w:cs="Times New Roman"/>
          <w:color w:val="auto"/>
          <w:sz w:val="30"/>
          <w:szCs w:val="30"/>
        </w:rPr>
        <w:t>；</w:t>
      </w:r>
    </w:p>
    <w:p>
      <w:pPr>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项目编号：</w:t>
      </w:r>
      <w:r>
        <w:rPr>
          <w:rFonts w:hint="default" w:ascii="Times New Roman" w:hAnsi="Times New Roman" w:eastAsia="仿宋_GB2312" w:cs="Times New Roman"/>
          <w:color w:val="auto"/>
          <w:sz w:val="30"/>
          <w:szCs w:val="30"/>
          <w:highlight w:val="none"/>
          <w:lang w:eastAsia="zh-CN"/>
        </w:rPr>
        <w:t>00017110200Y</w:t>
      </w:r>
      <w:r>
        <w:rPr>
          <w:rFonts w:ascii="Times New Roman" w:hAnsi="Times New Roman" w:eastAsia="仿宋_GB2312" w:cs="Times New Roman"/>
          <w:color w:val="auto"/>
          <w:sz w:val="30"/>
          <w:szCs w:val="30"/>
        </w:rPr>
        <w:t>；</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子项名称：</w:t>
      </w:r>
      <w:r>
        <w:rPr>
          <w:rFonts w:hint="default" w:ascii="Times New Roman" w:hAnsi="Times New Roman" w:eastAsia="仿宋_GB2312" w:cs="Times New Roman"/>
          <w:color w:val="auto"/>
          <w:sz w:val="30"/>
          <w:szCs w:val="30"/>
          <w:highlight w:val="none"/>
          <w:lang w:val="en-US" w:eastAsia="zh-CN"/>
        </w:rPr>
        <w:t>分局办理的企业经常项目资金集中和轧差结算收支业务登记</w:t>
      </w:r>
      <w:r>
        <w:rPr>
          <w:rFonts w:ascii="Times New Roman" w:hAnsi="Times New Roman" w:eastAsia="仿宋_GB2312" w:cs="Times New Roman"/>
          <w:color w:val="auto"/>
          <w:sz w:val="30"/>
          <w:szCs w:val="30"/>
        </w:rPr>
        <w:t>；</w:t>
      </w:r>
    </w:p>
    <w:p>
      <w:pPr>
        <w:ind w:firstLine="585"/>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子项</w:t>
      </w:r>
      <w:r>
        <w:rPr>
          <w:rFonts w:ascii="Times New Roman" w:hAnsi="Times New Roman" w:eastAsia="仿宋_GB2312" w:cs="Times New Roman"/>
          <w:color w:val="auto"/>
          <w:sz w:val="30"/>
          <w:szCs w:val="30"/>
        </w:rPr>
        <w:t>编号：</w:t>
      </w:r>
      <w:r>
        <w:rPr>
          <w:rFonts w:hint="default" w:ascii="Times New Roman" w:hAnsi="Times New Roman" w:eastAsia="仿宋_GB2312" w:cs="Times New Roman"/>
          <w:color w:val="auto"/>
          <w:sz w:val="30"/>
          <w:szCs w:val="30"/>
          <w:highlight w:val="none"/>
          <w:lang w:eastAsia="zh-CN"/>
        </w:rPr>
        <w:t>0001711020</w:t>
      </w:r>
      <w:r>
        <w:rPr>
          <w:rFonts w:hint="eastAsia" w:ascii="Times New Roman" w:hAnsi="Times New Roman" w:eastAsia="仿宋_GB2312" w:cs="Times New Roman"/>
          <w:color w:val="auto"/>
          <w:sz w:val="30"/>
          <w:szCs w:val="30"/>
          <w:highlight w:val="none"/>
          <w:lang w:val="en-US" w:eastAsia="zh-CN"/>
        </w:rPr>
        <w:t>04</w:t>
      </w:r>
      <w:r>
        <w:rPr>
          <w:rFonts w:ascii="Times New Roman" w:hAnsi="Times New Roman" w:eastAsia="仿宋_GB2312" w:cs="Times New Roman"/>
          <w:color w:val="auto"/>
          <w:sz w:val="30"/>
          <w:szCs w:val="30"/>
        </w:rPr>
        <w:t>；</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审批类别：行政许可。</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default" w:ascii="Times New Roman" w:hAnsi="Times New Roman" w:eastAsia="仿宋_GB2312" w:cs="Times New Roman"/>
          <w:color w:val="auto"/>
          <w:sz w:val="30"/>
          <w:szCs w:val="30"/>
          <w:highlight w:val="none"/>
          <w:lang w:val="en-US" w:eastAsia="zh-CN"/>
        </w:rPr>
        <w:t>企业经常项目资金集中和轧差结算收支业务登记</w:t>
      </w:r>
      <w:r>
        <w:rPr>
          <w:rFonts w:ascii="Times New Roman" w:hAnsi="Times New Roman" w:eastAsia="仿宋_GB2312" w:cs="Times New Roman"/>
          <w:color w:val="auto"/>
          <w:sz w:val="30"/>
          <w:szCs w:val="30"/>
        </w:rPr>
        <w:t>”的申请和办理。</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widowControl w:val="0"/>
        <w:numPr>
          <w:ilvl w:val="0"/>
          <w:numId w:val="0"/>
        </w:numPr>
        <w:wordWrap/>
        <w:adjustRightInd/>
        <w:snapToGrid/>
        <w:spacing w:line="540" w:lineRule="exact"/>
        <w:ind w:firstLine="600" w:firstLineChars="200"/>
        <w:textAlignment w:val="auto"/>
        <w:outlineLvl w:val="2"/>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w:t>
      </w:r>
      <w:r>
        <w:rPr>
          <w:rFonts w:hint="default" w:ascii="Times New Roman" w:hAnsi="Times New Roman" w:eastAsia="仿宋_GB2312" w:cs="Times New Roman"/>
          <w:color w:val="auto"/>
          <w:sz w:val="30"/>
          <w:szCs w:val="30"/>
          <w:highlight w:val="none"/>
          <w:lang w:val="en-US" w:eastAsia="zh-CN"/>
        </w:rPr>
        <w:t>《国务院对确需保留的行政审批项目设定行政许可的决定》附件第489项、第490项。</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widowControl w:val="0"/>
        <w:numPr>
          <w:ilvl w:val="0"/>
          <w:numId w:val="0"/>
        </w:numPr>
        <w:wordWrap/>
        <w:adjustRightInd/>
        <w:snapToGrid/>
        <w:spacing w:line="540" w:lineRule="exact"/>
        <w:ind w:firstLine="600" w:firstLineChars="200"/>
        <w:textAlignment w:val="auto"/>
        <w:outlineLvl w:val="2"/>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（一）《经常项目外汇业务指引（2020年版）》（汇发〔2020〕14号文印发）第一百四十三条</w:t>
      </w:r>
      <w:r>
        <w:rPr>
          <w:rFonts w:hint="eastAsia" w:ascii="Times New Roman" w:hAnsi="Times New Roman" w:eastAsia="仿宋_GB2312" w:cs="Times New Roman"/>
          <w:color w:val="auto"/>
          <w:sz w:val="30"/>
          <w:szCs w:val="30"/>
          <w:highlight w:val="none"/>
          <w:lang w:val="en-US" w:eastAsia="zh-CN"/>
        </w:rPr>
        <w:t>；</w:t>
      </w:r>
    </w:p>
    <w:p>
      <w:pPr>
        <w:widowControl w:val="0"/>
        <w:numPr>
          <w:ilvl w:val="0"/>
          <w:numId w:val="0"/>
        </w:numPr>
        <w:wordWrap/>
        <w:adjustRightInd/>
        <w:snapToGrid/>
        <w:spacing w:line="540" w:lineRule="exact"/>
        <w:ind w:firstLine="600" w:firstLineChars="200"/>
        <w:textAlignment w:val="auto"/>
        <w:outlineLvl w:val="2"/>
        <w:rPr>
          <w:rFonts w:hint="default" w:ascii="Times New Roman" w:hAnsi="Times New Roman" w:eastAsia="仿宋_GB2312" w:cs="Times New Roman"/>
          <w:color w:val="auto"/>
          <w:sz w:val="30"/>
          <w:szCs w:val="30"/>
          <w:highlight w:val="none"/>
          <w:lang w:val="en-US" w:eastAsia="zh-CN"/>
        </w:rPr>
      </w:pPr>
      <w:bookmarkStart w:id="0" w:name="_Toc99637790"/>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二</w:t>
      </w:r>
      <w:r>
        <w:rPr>
          <w:rFonts w:hint="default" w:ascii="Times New Roman" w:hAnsi="Times New Roman" w:eastAsia="仿宋_GB2312" w:cs="Times New Roman"/>
          <w:color w:val="auto"/>
          <w:sz w:val="30"/>
          <w:szCs w:val="30"/>
          <w:highlight w:val="none"/>
          <w:lang w:val="en-US" w:eastAsia="zh-CN"/>
        </w:rPr>
        <w:t>）《跨国公司跨境资金集中运营管理规定》（汇发〔2019〕7号文印发）（汇发〔2019〕7号文印发）第五条、第七条</w:t>
      </w:r>
      <w:bookmarkEnd w:id="0"/>
      <w:r>
        <w:rPr>
          <w:rFonts w:hint="eastAsia" w:ascii="Times New Roman" w:hAnsi="Times New Roman" w:eastAsia="仿宋_GB2312" w:cs="Times New Roman"/>
          <w:color w:val="auto"/>
          <w:sz w:val="30"/>
          <w:szCs w:val="30"/>
          <w:highlight w:val="none"/>
          <w:lang w:val="en-US" w:eastAsia="zh-CN"/>
        </w:rPr>
        <w:t>；</w:t>
      </w:r>
    </w:p>
    <w:p>
      <w:pPr>
        <w:ind w:firstLine="600" w:firstLineChars="200"/>
        <w:rPr>
          <w:rFonts w:ascii="Times New Roman" w:hAnsi="Times New Roman" w:eastAsia="仿宋_GB2312" w:cs="Times New Roman"/>
          <w:color w:val="auto"/>
          <w:sz w:val="30"/>
          <w:szCs w:val="30"/>
          <w:lang w:bidi="zh-CN"/>
        </w:rPr>
      </w:pP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三</w:t>
      </w:r>
      <w:r>
        <w:rPr>
          <w:rFonts w:hint="default" w:ascii="Times New Roman" w:hAnsi="Times New Roman" w:eastAsia="仿宋_GB2312" w:cs="Times New Roman"/>
          <w:color w:val="auto"/>
          <w:sz w:val="30"/>
          <w:szCs w:val="30"/>
          <w:highlight w:val="none"/>
          <w:lang w:val="en-US" w:eastAsia="zh-CN"/>
        </w:rPr>
        <w:t>）《国家外汇管理局行政许可实施办法》（国家外汇管理局公告2021年第1号）全文</w:t>
      </w:r>
      <w:r>
        <w:rPr>
          <w:rFonts w:ascii="Times New Roman" w:hAnsi="Times New Roman" w:eastAsia="仿宋_GB2312" w:cs="Times New Roman"/>
          <w:color w:val="auto"/>
          <w:sz w:val="30"/>
          <w:szCs w:val="30"/>
          <w:lang w:bidi="zh-CN"/>
        </w:rPr>
        <w:t>。</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五、受理机构</w:t>
      </w:r>
    </w:p>
    <w:p>
      <w:pPr>
        <w:ind w:firstLine="600" w:firstLineChars="200"/>
        <w:rPr>
          <w:rFonts w:ascii="Times New Roman" w:hAnsi="Times New Roman" w:eastAsia="黑体" w:cs="Times New Roman"/>
          <w:color w:val="auto"/>
          <w:sz w:val="30"/>
          <w:szCs w:val="30"/>
        </w:rPr>
      </w:pPr>
      <w:r>
        <w:rPr>
          <w:rFonts w:ascii="Times New Roman" w:hAnsi="Times New Roman" w:eastAsia="仿宋_GB2312" w:cs="Times New Roman"/>
          <w:color w:val="auto"/>
          <w:sz w:val="30"/>
          <w:szCs w:val="30"/>
        </w:rPr>
        <w:t>申请人注册所在地国家外汇管理局分局。</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六、决定机构</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申请人注册所在地国家外汇管理局分局。</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七、审批数量</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无数量限制。</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八、办事条件</w:t>
      </w:r>
    </w:p>
    <w:p>
      <w:pPr>
        <w:ind w:firstLine="600" w:firstLineChars="200"/>
        <w:rPr>
          <w:rFonts w:hint="default" w:ascii="Times New Roman" w:hAnsi="Times New Roman" w:eastAsia="仿宋_GB2312" w:cs="Times New Roman"/>
          <w:color w:val="auto"/>
          <w:sz w:val="30"/>
          <w:szCs w:val="30"/>
          <w:lang w:val="en-US" w:eastAsia="zh-CN"/>
        </w:rPr>
      </w:pPr>
      <w:bookmarkStart w:id="1" w:name="_Toc58215015"/>
      <w:r>
        <w:rPr>
          <w:rFonts w:hint="default" w:ascii="Times New Roman" w:hAnsi="Times New Roman" w:eastAsia="仿宋_GB2312" w:cs="Times New Roman"/>
          <w:color w:val="auto"/>
          <w:sz w:val="30"/>
          <w:szCs w:val="30"/>
          <w:lang w:val="en-US" w:eastAsia="zh-CN"/>
        </w:rPr>
        <w:t>1.准予行政许可的条件</w:t>
      </w:r>
      <w:bookmarkEnd w:id="1"/>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分局办理的经常项目资金集中收付和轧差结算收支业务新办</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办理经常项目资金集中收付和轧差结算收支业务的申请主体为跨国公司主办企业，且需满足以下要求：</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val="en-US" w:eastAsia="zh-CN"/>
        </w:rPr>
        <w:t>①</w:t>
      </w:r>
      <w:r>
        <w:rPr>
          <w:rFonts w:hint="default" w:ascii="Times New Roman" w:hAnsi="Times New Roman" w:eastAsia="仿宋_GB2312" w:cs="Times New Roman"/>
          <w:color w:val="auto"/>
          <w:sz w:val="30"/>
          <w:szCs w:val="30"/>
          <w:lang w:val="en-US" w:eastAsia="zh-CN"/>
        </w:rPr>
        <w:t>具备真实业务需求；</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val="en-US" w:eastAsia="zh-CN"/>
        </w:rPr>
        <w:t>②</w:t>
      </w:r>
      <w:r>
        <w:rPr>
          <w:rFonts w:hint="default" w:ascii="Times New Roman" w:hAnsi="Times New Roman" w:eastAsia="仿宋_GB2312" w:cs="Times New Roman"/>
          <w:color w:val="auto"/>
          <w:sz w:val="30"/>
          <w:szCs w:val="30"/>
          <w:lang w:val="en-US" w:eastAsia="zh-CN"/>
        </w:rPr>
        <w:t>具有完善的跨境资金管理架构、内控制度；</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③</w:t>
      </w:r>
      <w:r>
        <w:rPr>
          <w:rFonts w:hint="default" w:ascii="Times New Roman" w:hAnsi="Times New Roman" w:eastAsia="仿宋_GB2312" w:cs="Times New Roman"/>
          <w:color w:val="auto"/>
          <w:sz w:val="30"/>
          <w:szCs w:val="30"/>
          <w:lang w:val="en-US" w:eastAsia="zh-CN"/>
        </w:rPr>
        <w:t>建立相应的内部管理电子系统；</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④</w:t>
      </w:r>
      <w:r>
        <w:rPr>
          <w:rFonts w:hint="default" w:ascii="Times New Roman" w:hAnsi="Times New Roman" w:eastAsia="仿宋_GB2312" w:cs="Times New Roman"/>
          <w:color w:val="auto"/>
          <w:sz w:val="30"/>
          <w:szCs w:val="30"/>
          <w:lang w:val="en-US" w:eastAsia="zh-CN"/>
        </w:rPr>
        <w:t>企业上年度本外币国际收支规模超过1亿美元，自由贸易试验区企业上年度本外币国际收支规模超过5000万美元（参加跨境资金集中运营业务的境内成员企业合并计算）；</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⑤</w:t>
      </w:r>
      <w:r>
        <w:rPr>
          <w:rFonts w:hint="default" w:ascii="Times New Roman" w:hAnsi="Times New Roman" w:eastAsia="仿宋_GB2312" w:cs="Times New Roman"/>
          <w:color w:val="auto"/>
          <w:sz w:val="30"/>
          <w:szCs w:val="30"/>
          <w:lang w:val="en-US" w:eastAsia="zh-CN"/>
        </w:rPr>
        <w:t>近三年无重大外汇违法违规行为（成立不满三年的企业，自成立之日起无重大外汇违规行为）；</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⑥</w:t>
      </w:r>
      <w:r>
        <w:rPr>
          <w:rFonts w:hint="default" w:ascii="Times New Roman" w:hAnsi="Times New Roman" w:eastAsia="仿宋_GB2312" w:cs="Times New Roman"/>
          <w:color w:val="auto"/>
          <w:sz w:val="30"/>
          <w:szCs w:val="30"/>
          <w:lang w:val="en-US" w:eastAsia="zh-CN"/>
        </w:rPr>
        <w:t>主办企业和境内成员企业如为贸易外汇收支名录内企业，货物贸易分类结果应为A类。</w:t>
      </w:r>
    </w:p>
    <w:p>
      <w:pPr>
        <w:ind w:firstLine="600" w:firstLineChars="200"/>
        <w:rPr>
          <w:rFonts w:hint="default"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分局办理的经常项目资金集中收付和轧差结算收支业务</w:t>
      </w:r>
      <w:r>
        <w:rPr>
          <w:rFonts w:hint="default" w:ascii="Times New Roman" w:hAnsi="Times New Roman" w:eastAsia="仿宋_GB2312" w:cs="Times New Roman"/>
          <w:color w:val="auto"/>
          <w:sz w:val="30"/>
          <w:szCs w:val="30"/>
          <w:lang w:eastAsia="zh-CN"/>
        </w:rPr>
        <w:t>变更</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eastAsia="zh-CN"/>
        </w:rPr>
        <w:t xml:space="preserve"> </w:t>
      </w:r>
      <w:r>
        <w:rPr>
          <w:rFonts w:hint="default" w:ascii="Times New Roman" w:hAnsi="Times New Roman" w:eastAsia="仿宋_GB2312" w:cs="Times New Roman"/>
          <w:color w:val="auto"/>
          <w:sz w:val="30"/>
          <w:szCs w:val="30"/>
          <w:lang w:val="en-US" w:eastAsia="zh-CN"/>
        </w:rPr>
        <w:t>跨国公司跨境资金集中运营业务办理期间</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合作银行、主办企业、成员企业、业务种类等发生变更</w:t>
      </w:r>
      <w:r>
        <w:rPr>
          <w:rFonts w:hint="default" w:ascii="Times New Roman" w:hAnsi="Times New Roman" w:eastAsia="仿宋_GB2312" w:cs="Times New Roman"/>
          <w:color w:val="auto"/>
          <w:sz w:val="30"/>
          <w:szCs w:val="30"/>
          <w:lang w:eastAsia="zh-CN"/>
        </w:rPr>
        <w:t>的跨国公司主办企业</w:t>
      </w:r>
      <w:r>
        <w:rPr>
          <w:rFonts w:hint="default"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bookmarkStart w:id="2" w:name="_Toc1963549143"/>
      <w:r>
        <w:rPr>
          <w:rFonts w:hint="default" w:ascii="Times New Roman" w:hAnsi="Times New Roman" w:eastAsia="仿宋_GB2312" w:cs="Times New Roman"/>
          <w:color w:val="auto"/>
          <w:sz w:val="30"/>
          <w:szCs w:val="30"/>
          <w:lang w:val="en-US" w:eastAsia="zh-CN"/>
        </w:rPr>
        <w:t>2.规定行政许可条件的依据</w:t>
      </w:r>
      <w:bookmarkEnd w:id="2"/>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分局办理的经常项目资金集中收付和轧差结算收支业务新办</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《跨国公司跨境资金集中运营管理规定》（汇发〔2019〕7号文印发）第五条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满足以下条件的跨国公司,可根据经营需要选择一家境内企业作为主办企业集中运营管理境内外成员企业资金,开展集中外债额度、集中境外放款额度、经常项目资金集中收付和轧差结算中的一项或多项业务:</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（一）具备真实业务需求;</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（二）具有完善的跨境资金管理架构、内控制度;</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（三）建立相应的内部管理电子系统;</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（四）上年度本外币国际收支规模超过 1 亿美元（参加跨境资金集中运营业务的境内成员企业合并计算）;</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（五）近三年无重大外汇违法违规行为（成立不满三年的企业,自成立之日起无重大外汇违规行为）;</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（六）主办企业和境内成员企业如为贸易外汇收支名录内企业,货物贸易分类结果应为 A 类……。</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分局办理的经常项目资金集中收付和轧差结算收支业务变更</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《跨国公司跨境资金集中运营管理规定》（汇发〔2019〕7号文印发）第十条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跨国公司跨境资金集中运营业务办理期间，合作银行、主办企业、成员企业、业务种类等发生变更的，主办企业应提前一个月通过所在地外汇局向分局变更备案。</w:t>
      </w:r>
      <w:r>
        <w:rPr>
          <w:rFonts w:hint="eastAsia" w:ascii="Times New Roman" w:hAnsi="Times New Roman" w:eastAsia="仿宋_GB2312" w:cs="Times New Roman"/>
          <w:color w:val="auto"/>
          <w:sz w:val="30"/>
          <w:szCs w:val="30"/>
          <w:lang w:val="en-US" w:eastAsia="zh-CN"/>
        </w:rPr>
        <w:t>”</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九、申请材料</w:t>
      </w:r>
    </w:p>
    <w:p>
      <w:pPr>
        <w:ind w:firstLine="600" w:firstLineChars="200"/>
        <w:rPr>
          <w:rFonts w:hint="default" w:ascii="Times New Roman" w:hAnsi="Times New Roman" w:eastAsia="仿宋_GB2312" w:cs="Times New Roman"/>
          <w:color w:val="auto"/>
          <w:sz w:val="30"/>
          <w:szCs w:val="30"/>
          <w:lang w:val="en-US" w:eastAsia="zh-CN"/>
        </w:rPr>
      </w:pPr>
      <w:bookmarkStart w:id="3" w:name="_Toc220070293"/>
      <w:r>
        <w:rPr>
          <w:rFonts w:hint="eastAsia" w:ascii="Times New Roman" w:hAnsi="Times New Roman" w:eastAsia="仿宋_GB2312" w:cs="Times New Roman"/>
          <w:color w:val="auto"/>
          <w:sz w:val="30"/>
          <w:szCs w:val="30"/>
          <w:lang w:val="en-US" w:eastAsia="zh-CN"/>
        </w:rPr>
        <w:t>（一）</w:t>
      </w:r>
      <w:r>
        <w:rPr>
          <w:rFonts w:hint="default" w:ascii="Times New Roman" w:hAnsi="Times New Roman" w:eastAsia="仿宋_GB2312" w:cs="Times New Roman"/>
          <w:color w:val="auto"/>
          <w:sz w:val="30"/>
          <w:szCs w:val="30"/>
          <w:lang w:val="en-US" w:eastAsia="zh-CN"/>
        </w:rPr>
        <w:t>申请材料名称</w:t>
      </w:r>
      <w:bookmarkEnd w:id="3"/>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分局办理的经常项目资金集中收付和轧差结算收支业务新办</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加盖公章的备案申请书原件1份，内容包括但不限于跨国公司及主办企业基本情况、拟开展的业务种类、成员企业名单、主办企业及成员企业股权结构情况、拟选择的合作银行情况、拟申请开展经常项目资金集中收付和轧差净额结算的境内成员企业名称、统一社会信用代码、注册地等。</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跨国公司对主办企业开展跨境资金集中运营业务的授权书原件1份（应加盖跨国公司公章）。</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val="en-US" w:eastAsia="zh-CN"/>
        </w:rPr>
        <w:t>主办企业与合作银行共同签署的《跨国公司跨境资金集中运营业务办理确认书》原件或加盖公章的复印件1份。</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val="en-US" w:eastAsia="zh-CN"/>
        </w:rPr>
        <w:t>境外成员企业注册文件原件或加盖公章的复印件1份（非中文的同时提供中文翻译件）。</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lang w:val="en-US" w:eastAsia="zh-CN"/>
        </w:rPr>
        <w:t>金融业务许可证及经营范围批准文件原件或加盖公章的复印件1份（仅主办企业为财务公司的提供）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金融业务许可证及经营范围批准文件复印件1份（仅主办企业为财务公司的需提供）。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分局办理的经常项目资金集中收付和轧差结算收支业务变更</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申请书1份（需列明变更事项和相关内容）。</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加盖银行业务公章的原账户余额对账单原件或加盖公章的复印件1份（合作银行变更时提供）。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val="en-US" w:eastAsia="zh-CN"/>
        </w:rPr>
        <w:t>主办企业与变更后合作银行签署的《跨国公司跨境资金集中运营业务办理确认书》原件或加盖公章的复印件1份（合作银行变更时提供）。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val="en-US" w:eastAsia="zh-CN"/>
        </w:rPr>
        <w:t>跨国公司对主办企业开展跨境资金集中运营业务的授权书原件或加盖公章的复印件1份（主办企业变更、成员企业新增或退出、业务种类变更时提供）。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lang w:val="en-US" w:eastAsia="zh-CN"/>
        </w:rPr>
        <w:t>主办企业与合作银行共同签署的《跨国公司跨境资金集中运营业务办理确认书》原件或加盖公章的复印件1份（主办企业变更、成员企业新增或退出、业务种类变更时提供）。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主办企业及境内成员企业营业执照（统一社会信用代码证）原件或加盖公章的复印件1份（主办企业变更、成员企业新增或退出、业务种类变更时提供）。</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en-US" w:eastAsia="zh-CN"/>
        </w:rPr>
        <w:t>境外成员企业注册文件原件或加盖公章的复印件1份（主办企业变更、成员企业新增或退出、业务种类变更时提供；非中文的同时提供中文翻译件）。</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（8）</w:t>
      </w:r>
      <w:r>
        <w:rPr>
          <w:rFonts w:hint="default" w:ascii="Times New Roman" w:hAnsi="Times New Roman" w:eastAsia="仿宋_GB2312" w:cs="Times New Roman"/>
          <w:color w:val="auto"/>
          <w:sz w:val="30"/>
          <w:szCs w:val="30"/>
          <w:lang w:val="en-US" w:eastAsia="zh-CN"/>
        </w:rPr>
        <w:t>金融业务许可证及经营范围批准文件原件或加盖公章的复印件1份（主办企业变更、成员企业新增或退出、业务种类变更时提供；仅主办企业为财务公司的需提供）。</w:t>
      </w:r>
    </w:p>
    <w:p>
      <w:pPr>
        <w:ind w:firstLine="600" w:firstLineChars="200"/>
        <w:rPr>
          <w:rFonts w:hint="default" w:ascii="Times New Roman" w:hAnsi="Times New Roman" w:eastAsia="仿宋_GB2312" w:cs="Times New Roman"/>
          <w:color w:val="auto"/>
          <w:sz w:val="30"/>
          <w:szCs w:val="30"/>
          <w:lang w:val="en-US" w:eastAsia="zh-CN"/>
        </w:rPr>
      </w:pPr>
      <w:bookmarkStart w:id="4" w:name="_Toc1884519838"/>
      <w:r>
        <w:rPr>
          <w:rFonts w:hint="eastAsia" w:ascii="Times New Roman" w:hAnsi="Times New Roman" w:eastAsia="仿宋_GB2312" w:cs="Times New Roman"/>
          <w:color w:val="auto"/>
          <w:sz w:val="30"/>
          <w:szCs w:val="30"/>
          <w:lang w:val="en-US" w:eastAsia="zh-CN"/>
        </w:rPr>
        <w:t>（二）</w:t>
      </w:r>
      <w:r>
        <w:rPr>
          <w:rFonts w:hint="default" w:ascii="Times New Roman" w:hAnsi="Times New Roman" w:eastAsia="仿宋_GB2312" w:cs="Times New Roman"/>
          <w:color w:val="auto"/>
          <w:sz w:val="30"/>
          <w:szCs w:val="30"/>
          <w:lang w:val="en-US" w:eastAsia="zh-CN"/>
        </w:rPr>
        <w:t>规定申请材料的依据</w:t>
      </w:r>
      <w:bookmarkEnd w:id="4"/>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分局办理的经常项目资金集中收付和轧差结算收支业务新办</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《国家外汇管理局行政许可实施办法》（国家外汇管理局公告2021年第1号）第八条</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……申请人为机构的，应出示统一社会信用代码证或营业执照原件，或加盖公章的上述证件复印件……。</w:t>
      </w:r>
      <w:r>
        <w:rPr>
          <w:rFonts w:hint="eastAsia" w:ascii="Times New Roman" w:hAnsi="Times New Roman" w:eastAsia="仿宋_GB2312" w:cs="Times New Roman"/>
          <w:color w:val="auto"/>
          <w:sz w:val="30"/>
          <w:szCs w:val="30"/>
          <w:lang w:val="en-US"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《跨国公司跨境资金集中运营管理规定》（汇发〔2019〕7号</w:t>
      </w:r>
      <w:r>
        <w:rPr>
          <w:rFonts w:hint="default" w:ascii="Times New Roman" w:hAnsi="Times New Roman" w:eastAsia="仿宋_GB2312" w:cs="Times New Roman"/>
          <w:color w:val="auto"/>
          <w:sz w:val="30"/>
          <w:szCs w:val="30"/>
          <w:lang w:eastAsia="zh-CN"/>
        </w:rPr>
        <w:t>文印发</w:t>
      </w:r>
      <w:r>
        <w:rPr>
          <w:rFonts w:hint="default" w:ascii="Times New Roman" w:hAnsi="Times New Roman" w:eastAsia="仿宋_GB2312" w:cs="Times New Roman"/>
          <w:color w:val="auto"/>
          <w:sz w:val="30"/>
          <w:szCs w:val="30"/>
          <w:lang w:val="en-US" w:eastAsia="zh-CN"/>
        </w:rPr>
        <w:t xml:space="preserve">）第七条跨国公司开展跨境资金集中运营业务，应通过主办企业所在地国家外汇管理局分支局（以下简称所在地外汇局）向所属外汇分局、管理部（以下简称分局）备案，提交以下材料：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eastAsia="zh-CN"/>
        </w:rPr>
        <w:t>①</w:t>
      </w:r>
      <w:r>
        <w:rPr>
          <w:rFonts w:hint="default" w:ascii="Times New Roman" w:hAnsi="Times New Roman" w:eastAsia="仿宋_GB2312" w:cs="Times New Roman"/>
          <w:color w:val="auto"/>
          <w:sz w:val="30"/>
          <w:szCs w:val="30"/>
          <w:lang w:val="en-US" w:eastAsia="zh-CN"/>
        </w:rPr>
        <w:t xml:space="preserve">基本材料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备案申请书（包括跨国公司及主办企业基本情况、拟开展的业务种类、成员企业名单、主办企业及成员企业股权结构情况、拟选择的合作银行情况等）；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跨国公司对主办企业开展跨境资金集中运营业务的授权书；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主办企业与合作银行共同签署的《跨国公司跨境资金集中运营业务办理确认书》；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境外成员企业注册文件（非中文的同时提供中文翻译件）；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金融业务许可证及经营范围批准文件（仅主办企业为财务公司的需提供）。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以上第2项材料应加盖跨国公司公章，其余材料均应加盖主办企业公章。</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eastAsia="zh-CN"/>
        </w:rPr>
        <w:t>②</w:t>
      </w:r>
      <w:r>
        <w:rPr>
          <w:rFonts w:hint="default" w:ascii="Times New Roman" w:hAnsi="Times New Roman" w:eastAsia="仿宋_GB2312" w:cs="Times New Roman"/>
          <w:color w:val="auto"/>
          <w:sz w:val="30"/>
          <w:szCs w:val="30"/>
          <w:lang w:val="en-US" w:eastAsia="zh-CN"/>
        </w:rPr>
        <w:t xml:space="preserve">专项材料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经常项目资金集中收付和轧差净额结算。主办企业申请办理经常项目资金集中收付和轧差净额结算备案时，应在备案申请书中列表说明参与经常项目资金集中收付和轧差净额结算的境内成员企业名称、统一社会信用代码、注册地（加盖主办企业公章）。</w:t>
      </w:r>
    </w:p>
    <w:p>
      <w:pPr>
        <w:ind w:firstLine="600" w:firstLineChars="200"/>
        <w:rPr>
          <w:rFonts w:hint="default"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分局办理的经常项目资金集中收付和轧差结算收支业务</w:t>
      </w:r>
      <w:r>
        <w:rPr>
          <w:rFonts w:hint="default" w:ascii="Times New Roman" w:hAnsi="Times New Roman" w:eastAsia="仿宋_GB2312" w:cs="Times New Roman"/>
          <w:color w:val="auto"/>
          <w:sz w:val="30"/>
          <w:szCs w:val="30"/>
          <w:lang w:eastAsia="zh-CN"/>
        </w:rPr>
        <w:t>变更</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lang w:val="en-US" w:eastAsia="zh-CN"/>
        </w:rPr>
        <w:t>《跨国公司跨境资金集中运营管理规定》（汇发〔2019〕7号</w:t>
      </w:r>
      <w:r>
        <w:rPr>
          <w:rFonts w:hint="default" w:ascii="Times New Roman" w:hAnsi="Times New Roman" w:eastAsia="仿宋_GB2312" w:cs="Times New Roman"/>
          <w:color w:val="auto"/>
          <w:sz w:val="30"/>
          <w:szCs w:val="30"/>
          <w:lang w:eastAsia="zh-CN"/>
        </w:rPr>
        <w:t>文印发</w:t>
      </w:r>
      <w:r>
        <w:rPr>
          <w:rFonts w:hint="default" w:ascii="Times New Roman" w:hAnsi="Times New Roman" w:eastAsia="仿宋_GB2312" w:cs="Times New Roman"/>
          <w:color w:val="auto"/>
          <w:sz w:val="30"/>
          <w:szCs w:val="30"/>
          <w:lang w:val="en-US" w:eastAsia="zh-CN"/>
        </w:rPr>
        <w:t xml:space="preserve">）第七条：跨国公司开展跨境资金集中运营业务，应通过主办企业所在地国家外汇管理局分支局（以下简称所在地外汇局）向所属外汇分局、管理部（以下简称分局）备案，提交以下材料：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val="en-US" w:eastAsia="zh-CN"/>
        </w:rPr>
        <w:t>①</w:t>
      </w:r>
      <w:r>
        <w:rPr>
          <w:rFonts w:hint="default" w:ascii="Times New Roman" w:hAnsi="Times New Roman" w:eastAsia="仿宋_GB2312" w:cs="Times New Roman"/>
          <w:color w:val="auto"/>
          <w:sz w:val="30"/>
          <w:szCs w:val="30"/>
          <w:lang w:val="en-US" w:eastAsia="zh-CN"/>
        </w:rPr>
        <w:t xml:space="preserve">备案申请书（包括跨国公司及主办企业基本情况、拟开展的业务种类、成员企业名单、主办企业及成员企业股权结构情况、拟选择的合作银行情况等）；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val="en-US" w:eastAsia="zh-CN"/>
        </w:rPr>
        <w:t>②</w:t>
      </w:r>
      <w:r>
        <w:rPr>
          <w:rFonts w:hint="default" w:ascii="Times New Roman" w:hAnsi="Times New Roman" w:eastAsia="仿宋_GB2312" w:cs="Times New Roman"/>
          <w:color w:val="auto"/>
          <w:sz w:val="30"/>
          <w:szCs w:val="30"/>
          <w:lang w:val="en-US" w:eastAsia="zh-CN"/>
        </w:rPr>
        <w:t xml:space="preserve">跨国公司对主办企业开展跨境资金集中运营业务的授权书；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③</w:t>
      </w:r>
      <w:r>
        <w:rPr>
          <w:rFonts w:hint="default" w:ascii="Times New Roman" w:hAnsi="Times New Roman" w:eastAsia="仿宋_GB2312" w:cs="Times New Roman"/>
          <w:color w:val="auto"/>
          <w:sz w:val="30"/>
          <w:szCs w:val="30"/>
          <w:lang w:val="en-US" w:eastAsia="zh-CN"/>
        </w:rPr>
        <w:t xml:space="preserve">主办企业与合作银行共同签署的《跨国公司跨境资金集中运营业务办理确认书》；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④</w:t>
      </w:r>
      <w:r>
        <w:rPr>
          <w:rFonts w:hint="default" w:ascii="Times New Roman" w:hAnsi="Times New Roman" w:eastAsia="仿宋_GB2312" w:cs="Times New Roman"/>
          <w:color w:val="auto"/>
          <w:sz w:val="30"/>
          <w:szCs w:val="30"/>
          <w:lang w:val="en-US" w:eastAsia="zh-CN"/>
        </w:rPr>
        <w:t xml:space="preserve">境外成员企业注册文件（非中文的同时提供中文翻译件）；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⑤</w:t>
      </w:r>
      <w:r>
        <w:rPr>
          <w:rFonts w:hint="default" w:ascii="Times New Roman" w:hAnsi="Times New Roman" w:eastAsia="仿宋_GB2312" w:cs="Times New Roman"/>
          <w:color w:val="auto"/>
          <w:sz w:val="30"/>
          <w:szCs w:val="30"/>
          <w:lang w:val="en-US" w:eastAsia="zh-CN"/>
        </w:rPr>
        <w:t xml:space="preserve">金融业务许可证及经营范围批准文件（仅主办企业为财务公司的需提供）。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以上第2项材料应加盖跨国公司公章，其余材料均应加盖主办企业公章。</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《跨国公司跨境资金集中运营管理规定》（汇发〔2019〕7号</w:t>
      </w:r>
      <w:r>
        <w:rPr>
          <w:rFonts w:hint="default" w:ascii="Times New Roman" w:hAnsi="Times New Roman" w:eastAsia="仿宋_GB2312" w:cs="Times New Roman"/>
          <w:color w:val="auto"/>
          <w:sz w:val="30"/>
          <w:szCs w:val="30"/>
          <w:lang w:eastAsia="zh-CN"/>
        </w:rPr>
        <w:t>文印发</w:t>
      </w:r>
      <w:r>
        <w:rPr>
          <w:rFonts w:hint="default" w:ascii="Times New Roman" w:hAnsi="Times New Roman" w:eastAsia="仿宋_GB2312" w:cs="Times New Roman"/>
          <w:color w:val="auto"/>
          <w:sz w:val="30"/>
          <w:szCs w:val="30"/>
          <w:lang w:val="en-US" w:eastAsia="zh-CN"/>
        </w:rPr>
        <w:t>）第十条：</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 xml:space="preserve"> </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 xml:space="preserve">合作银行变更的，应提交以下材料：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val="en-US" w:eastAsia="zh-CN"/>
        </w:rPr>
        <w:t>①</w:t>
      </w:r>
      <w:r>
        <w:rPr>
          <w:rFonts w:hint="default" w:ascii="Times New Roman" w:hAnsi="Times New Roman" w:eastAsia="仿宋_GB2312" w:cs="Times New Roman"/>
          <w:color w:val="auto"/>
          <w:sz w:val="30"/>
          <w:szCs w:val="30"/>
          <w:lang w:val="en-US" w:eastAsia="zh-CN"/>
        </w:rPr>
        <w:t xml:space="preserve">变更合作银行申请（包括拟选择的合作银行，原账户余额的处理方式等）；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宋体" w:hAnsi="宋体" w:eastAsia="宋体" w:cs="宋体"/>
          <w:color w:val="auto"/>
          <w:sz w:val="30"/>
          <w:szCs w:val="30"/>
          <w:lang w:val="en-US" w:eastAsia="zh-CN"/>
        </w:rPr>
        <w:t>②</w:t>
      </w:r>
      <w:r>
        <w:rPr>
          <w:rFonts w:hint="default" w:ascii="Times New Roman" w:hAnsi="Times New Roman" w:eastAsia="仿宋_GB2312" w:cs="Times New Roman"/>
          <w:color w:val="auto"/>
          <w:sz w:val="30"/>
          <w:szCs w:val="30"/>
          <w:lang w:val="en-US" w:eastAsia="zh-CN"/>
        </w:rPr>
        <w:t xml:space="preserve">加盖银行业务公章的原账户余额对账单； </w:t>
      </w:r>
    </w:p>
    <w:p>
      <w:pPr>
        <w:ind w:firstLine="600" w:firstLineChars="200"/>
        <w:rPr>
          <w:rFonts w:hint="default" w:ascii="Times New Roman" w:hAnsi="Times New Roman" w:eastAsia="仿宋_GB2312" w:cs="Times New Roman"/>
          <w:color w:val="auto"/>
          <w:sz w:val="30"/>
          <w:szCs w:val="30"/>
          <w:lang w:val="en-US" w:eastAsia="zh-CN"/>
        </w:rPr>
      </w:pPr>
      <w:r>
        <w:rPr>
          <w:rFonts w:hint="eastAsia" w:ascii="微软雅黑" w:hAnsi="微软雅黑" w:eastAsia="微软雅黑" w:cs="微软雅黑"/>
          <w:color w:val="auto"/>
          <w:sz w:val="30"/>
          <w:szCs w:val="30"/>
          <w:lang w:val="en-US" w:eastAsia="zh-CN"/>
        </w:rPr>
        <w:t>③</w:t>
      </w:r>
      <w:r>
        <w:rPr>
          <w:rFonts w:hint="default" w:ascii="Times New Roman" w:hAnsi="Times New Roman" w:eastAsia="仿宋_GB2312" w:cs="Times New Roman"/>
          <w:color w:val="auto"/>
          <w:sz w:val="30"/>
          <w:szCs w:val="30"/>
          <w:lang w:val="en-US" w:eastAsia="zh-CN"/>
        </w:rPr>
        <w:t>主办企业与变更后合作银行签署的《跨国公司跨境资金集中运营业务办理确认书》。</w:t>
      </w:r>
    </w:p>
    <w:p>
      <w:pPr>
        <w:ind w:firstLine="600" w:firstLineChars="200"/>
        <w:rPr>
          <w:rFonts w:hint="default" w:ascii="Times New Roman" w:hAnsi="Times New Roman" w:eastAsia="仿宋_GB2312" w:cs="Times New Roman"/>
          <w:color w:val="auto"/>
          <w:sz w:val="30"/>
          <w:szCs w:val="30"/>
          <w:lang w:eastAsia="zh-CN"/>
        </w:rPr>
      </w:pPr>
      <w:r>
        <w:rPr>
          <w:rFonts w:hint="eastAsia" w:ascii="微软雅黑" w:hAnsi="微软雅黑" w:eastAsia="微软雅黑" w:cs="微软雅黑"/>
          <w:color w:val="auto"/>
          <w:sz w:val="30"/>
          <w:szCs w:val="30"/>
          <w:lang w:val="en-US" w:eastAsia="zh-CN"/>
        </w:rPr>
        <w:t>④</w:t>
      </w:r>
      <w:r>
        <w:rPr>
          <w:rFonts w:hint="default" w:ascii="Times New Roman" w:hAnsi="Times New Roman" w:eastAsia="仿宋_GB2312" w:cs="Times New Roman"/>
          <w:color w:val="auto"/>
          <w:sz w:val="30"/>
          <w:szCs w:val="30"/>
          <w:lang w:val="en-US" w:eastAsia="zh-CN"/>
        </w:rPr>
        <w:t>主办企业变更、成员企业新增或退出、外债和境外放款额度变更、业务种类变更的，……参照第七条提交材料……</w:t>
      </w:r>
      <w:r>
        <w:rPr>
          <w:rFonts w:hint="default" w:ascii="Times New Roman" w:hAnsi="Times New Roman" w:eastAsia="仿宋_GB2312" w:cs="Times New Roman"/>
          <w:color w:val="auto"/>
          <w:sz w:val="30"/>
          <w:szCs w:val="30"/>
          <w:lang w:eastAsia="zh-CN"/>
        </w:rPr>
        <w:t>。</w:t>
      </w:r>
    </w:p>
    <w:p>
      <w:pPr>
        <w:ind w:firstLine="600"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根据《国家外汇管理局关于取消有关外汇管理证明事项的通知》（汇发〔2019〕38号 ）附件 外汇管理取消证明事项目录第10条跨国公司跨境资金集中运营业务原备案通知书复印件已取消。</w:t>
      </w:r>
    </w:p>
    <w:p>
      <w:pPr>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val="en-US" w:eastAsia="zh-CN"/>
        </w:rPr>
        <w:t xml:space="preserve">    </w:t>
      </w:r>
      <w:r>
        <w:rPr>
          <w:rFonts w:ascii="Times New Roman" w:hAnsi="Times New Roman" w:eastAsia="黑体" w:cs="Times New Roman"/>
          <w:color w:val="auto"/>
          <w:sz w:val="30"/>
          <w:szCs w:val="30"/>
        </w:rPr>
        <w:t>十、申请接受</w:t>
      </w:r>
    </w:p>
    <w:p>
      <w:pPr>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申请人可通过国家外汇管理局分局</w:t>
      </w:r>
      <w:bookmarkStart w:id="5" w:name="_GoBack"/>
      <w:bookmarkEnd w:id="5"/>
      <w:r>
        <w:rPr>
          <w:rFonts w:ascii="Times New Roman" w:hAnsi="Times New Roman" w:eastAsia="仿宋_GB2312" w:cs="Times New Roman"/>
          <w:color w:val="auto"/>
          <w:sz w:val="30"/>
          <w:szCs w:val="30"/>
        </w:rPr>
        <w:t>提交材料。</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十一、基本办理流程</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（一）申请人提交申请；</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（二）决定是否予以受理；</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（三）不属于本机构受理范围的，出具不予受理行政许可通知书； </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（四）属于本机构受理范围的，审核申请材料是否齐全或符合法定形式；材料不全或不符合法定形式的，一次性告知补正材料，并出具行政许可补正通知书；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（五）材料齐全的，依法予以受理，并出具行政许可受理通知书；</w:t>
      </w:r>
    </w:p>
    <w:p>
      <w:pPr>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（六）不予许可的，做出不予许可的行政许可书面决定并说明理由；予以许可的，出具贸易外汇业务登记表或备案通知书。</w:t>
      </w:r>
    </w:p>
    <w:p>
      <w:pPr>
        <w:tabs>
          <w:tab w:val="left" w:pos="615"/>
        </w:tabs>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十二、办理方式</w:t>
      </w:r>
    </w:p>
    <w:p>
      <w:pPr>
        <w:tabs>
          <w:tab w:val="left" w:pos="615"/>
        </w:tabs>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一般程序：申请、受理、审查、决定。</w:t>
      </w:r>
    </w:p>
    <w:p>
      <w:pPr>
        <w:tabs>
          <w:tab w:val="left" w:pos="615"/>
        </w:tabs>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    十三、审批时限</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20个工作日。</w:t>
      </w:r>
    </w:p>
    <w:p>
      <w:pPr>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十四、审批收费依据及标准</w:t>
      </w:r>
    </w:p>
    <w:p>
      <w:pPr>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不收费。</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十五、审批结果</w:t>
      </w:r>
    </w:p>
    <w:p>
      <w:pPr>
        <w:ind w:firstLine="600"/>
        <w:rPr>
          <w:rFonts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《跨国公司跨境资金集中运营业务办理确认书》</w:t>
      </w:r>
      <w:r>
        <w:rPr>
          <w:rFonts w:ascii="Times New Roman" w:hAnsi="Times New Roman" w:eastAsia="仿宋_GB2312" w:cs="Times New Roman"/>
          <w:color w:val="auto"/>
          <w:sz w:val="30"/>
          <w:szCs w:val="30"/>
        </w:rPr>
        <w:t>。</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十六、结果送达</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通过电话等方式通知申请企业，并通过现场领取或邮寄等方式将结果送达。</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十七、申请人权利和义务</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ind w:firstLine="600"/>
        <w:rPr>
          <w:rFonts w:ascii="Times New Roman" w:hAnsi="Times New Roman" w:eastAsia="仿宋_GB2312" w:cs="Times New Roman"/>
          <w:color w:val="auto"/>
          <w:sz w:val="30"/>
          <w:szCs w:val="30"/>
        </w:rPr>
      </w:pPr>
      <w:r>
        <w:rPr>
          <w:rFonts w:ascii="Times New Roman" w:hAnsi="Times New Roman" w:eastAsia="黑体" w:cs="Times New Roman"/>
          <w:color w:val="auto"/>
          <w:sz w:val="30"/>
          <w:szCs w:val="30"/>
        </w:rPr>
        <w:t>十八、咨询途径、监督和投诉、公开查询等由所在地分局办理</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1.国家外汇管理局广西壮族自治区分局</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（1）咨询途径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现场咨询：广西南宁市青秀区滨湖路58号中国人民银行广西壮族自治区分行一楼8号柜台。</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电话咨询：0771-6111201</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网站咨询：</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（2）监督和投诉途径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网站投诉：</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（3）</w:t>
      </w:r>
      <w:r>
        <w:rPr>
          <w:rFonts w:hint="eastAsia" w:ascii="Times New Roman" w:hAnsi="Times New Roman" w:eastAsia="仿宋_GB2312" w:cs="Times New Roman"/>
          <w:b/>
          <w:bCs/>
          <w:color w:val="auto"/>
          <w:sz w:val="30"/>
          <w:szCs w:val="30"/>
          <w:lang w:eastAsia="zh-CN"/>
        </w:rPr>
        <w:t>公开</w:t>
      </w:r>
      <w:r>
        <w:rPr>
          <w:rFonts w:hint="eastAsia" w:ascii="Times New Roman" w:hAnsi="Times New Roman" w:eastAsia="仿宋_GB2312" w:cs="Times New Roman"/>
          <w:b/>
          <w:bCs/>
          <w:color w:val="auto"/>
          <w:sz w:val="30"/>
          <w:szCs w:val="30"/>
        </w:rPr>
        <w:t>查询</w:t>
      </w:r>
      <w:r>
        <w:rPr>
          <w:rFonts w:hint="eastAsia" w:ascii="Times New Roman" w:hAnsi="Times New Roman" w:eastAsia="仿宋_GB2312" w:cs="Times New Roman"/>
          <w:b/>
          <w:bCs/>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现场查询：广西南宁市青秀区滨湖路58号中国人民银行广西壮族自治区分行一楼8号柜台。</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电话查询：0771-6111201</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十九、事项审查类型</w:t>
      </w:r>
    </w:p>
    <w:p>
      <w:pPr>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前审后批。</w:t>
      </w:r>
    </w:p>
    <w:p>
      <w:pPr>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二十、办公地址和时间</w:t>
      </w:r>
    </w:p>
    <w:p>
      <w:pPr>
        <w:adjustRightInd w:val="0"/>
        <w:snapToGrid w:val="0"/>
        <w:spacing w:line="360" w:lineRule="auto"/>
        <w:ind w:firstLine="602" w:firstLineChars="200"/>
        <w:rPr>
          <w:rFonts w:hint="eastAsia" w:ascii="仿宋_GB2312" w:hAnsi="Times New Roman" w:eastAsia="仿宋_GB2312"/>
          <w:b/>
          <w:bCs/>
          <w:color w:val="auto"/>
          <w:sz w:val="30"/>
          <w:szCs w:val="30"/>
        </w:rPr>
      </w:pPr>
      <w:r>
        <w:rPr>
          <w:rFonts w:hint="eastAsia" w:ascii="仿宋_GB2312" w:hAnsi="Times New Roman" w:eastAsia="仿宋_GB2312"/>
          <w:b/>
          <w:bCs/>
          <w:color w:val="auto"/>
          <w:sz w:val="30"/>
          <w:szCs w:val="30"/>
          <w:lang w:val="en-US" w:eastAsia="zh-CN"/>
        </w:rPr>
        <w:t>1.</w:t>
      </w:r>
      <w:r>
        <w:rPr>
          <w:rFonts w:hint="eastAsia" w:ascii="仿宋_GB2312" w:hAnsi="Times New Roman" w:eastAsia="仿宋_GB2312"/>
          <w:b/>
          <w:bCs/>
          <w:color w:val="auto"/>
          <w:sz w:val="30"/>
          <w:szCs w:val="30"/>
        </w:rPr>
        <w:t>国家外汇管理局广西壮族自治区分局</w:t>
      </w:r>
    </w:p>
    <w:p>
      <w:pPr>
        <w:adjustRightInd w:val="0"/>
        <w:snapToGrid w:val="0"/>
        <w:spacing w:line="360" w:lineRule="auto"/>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 xml:space="preserve">    办公</w:t>
      </w:r>
      <w:r>
        <w:rPr>
          <w:rFonts w:hint="eastAsia" w:ascii="仿宋_GB2312" w:hAnsi="Times New Roman" w:eastAsia="仿宋_GB2312"/>
          <w:color w:val="auto"/>
          <w:sz w:val="30"/>
          <w:szCs w:val="30"/>
        </w:rPr>
        <w:t>地址：广西南宁市青秀区滨湖路58号</w:t>
      </w:r>
      <w:r>
        <w:rPr>
          <w:rFonts w:hint="eastAsia" w:ascii="仿宋_GB2312" w:hAnsi="Times New Roman" w:eastAsia="仿宋_GB2312"/>
          <w:color w:val="auto"/>
          <w:sz w:val="30"/>
          <w:szCs w:val="30"/>
          <w:lang w:eastAsia="zh-CN"/>
        </w:rPr>
        <w:t>中国人民银行广西壮族自治区分行</w:t>
      </w:r>
      <w:r>
        <w:rPr>
          <w:rFonts w:hint="eastAsia" w:ascii="Times New Roman" w:hAnsi="Times New Roman" w:eastAsia="仿宋_GB2312" w:cs="Times New Roman"/>
          <w:color w:val="auto"/>
          <w:sz w:val="30"/>
          <w:szCs w:val="30"/>
          <w:lang w:val="en-US" w:eastAsia="zh-CN"/>
        </w:rPr>
        <w:t>一楼8号柜台。</w:t>
      </w:r>
    </w:p>
    <w:p>
      <w:pPr>
        <w:adjustRightInd w:val="0"/>
        <w:snapToGrid w:val="0"/>
        <w:spacing w:line="360" w:lineRule="auto"/>
        <w:ind w:firstLine="600" w:firstLineChars="200"/>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时间：工作日，上午：08:30-12:00，下午：</w:t>
      </w:r>
      <w:r>
        <w:rPr>
          <w:rFonts w:hint="eastAsia" w:ascii="仿宋_GB2312" w:hAnsi="Times New Roman" w:eastAsia="仿宋_GB2312"/>
          <w:color w:val="auto"/>
          <w:sz w:val="30"/>
          <w:szCs w:val="30"/>
          <w:lang w:val="en-US" w:eastAsia="zh-CN"/>
        </w:rPr>
        <w:t>14</w:t>
      </w:r>
      <w:r>
        <w:rPr>
          <w:rFonts w:hint="eastAsia" w:ascii="仿宋_GB2312" w:hAnsi="Times New Roman" w:eastAsia="仿宋_GB2312"/>
          <w:color w:val="auto"/>
          <w:sz w:val="30"/>
          <w:szCs w:val="30"/>
        </w:rPr>
        <w:t>:30-</w:t>
      </w:r>
      <w:r>
        <w:rPr>
          <w:rFonts w:hint="eastAsia" w:ascii="仿宋_GB2312" w:hAnsi="Times New Roman" w:eastAsia="仿宋_GB2312"/>
          <w:color w:val="auto"/>
          <w:sz w:val="30"/>
          <w:szCs w:val="30"/>
          <w:lang w:val="en-US" w:eastAsia="zh-CN"/>
        </w:rPr>
        <w:t>17</w:t>
      </w:r>
      <w:r>
        <w:rPr>
          <w:rFonts w:hint="eastAsia" w:ascii="仿宋_GB2312" w:hAnsi="Times New Roman" w:eastAsia="仿宋_GB2312"/>
          <w:color w:val="auto"/>
          <w:sz w:val="30"/>
          <w:szCs w:val="30"/>
        </w:rPr>
        <w:t xml:space="preserve">:30。 </w:t>
      </w:r>
    </w:p>
    <w:p>
      <w:pPr>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二十一、常见问题解答和错误示例。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1.受理后几个工作日能办结？</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按照法规要求，正式受理后，20个工作日内可以批复。</w:t>
      </w:r>
    </w:p>
    <w:p>
      <w:pPr>
        <w:widowControl/>
        <w:spacing w:line="384" w:lineRule="auto"/>
        <w:ind w:firstLine="600" w:firstLineChars="200"/>
        <w:jc w:val="left"/>
        <w:rPr>
          <w:rFonts w:ascii="Times New Roman" w:hAnsi="Times New Roman" w:eastAsia="仿宋_GB2312" w:cs="Times New Roman"/>
          <w:color w:val="auto"/>
          <w:kern w:val="0"/>
          <w:sz w:val="30"/>
          <w:szCs w:val="30"/>
        </w:rPr>
      </w:pPr>
      <w:r>
        <w:rPr>
          <w:rFonts w:ascii="Times New Roman" w:hAnsi="Times New Roman" w:eastAsia="仿宋_GB2312" w:cs="Times New Roman"/>
          <w:color w:val="auto"/>
          <w:kern w:val="0"/>
          <w:sz w:val="30"/>
          <w:szCs w:val="30"/>
        </w:rPr>
        <w:t>2.错误示例</w:t>
      </w:r>
    </w:p>
    <w:p>
      <w:pPr>
        <w:widowControl/>
        <w:spacing w:line="384" w:lineRule="auto"/>
        <w:ind w:firstLine="600" w:firstLineChars="200"/>
        <w:rPr>
          <w:rFonts w:ascii="Times New Roman" w:hAnsi="Times New Roman" w:eastAsia="仿宋_GB2312" w:cs="Times New Roman"/>
          <w:color w:val="auto"/>
          <w:sz w:val="30"/>
          <w:szCs w:val="30"/>
        </w:rPr>
        <w:sectPr>
          <w:footerReference r:id="rId4" w:type="default"/>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color w:val="auto"/>
          <w:kern w:val="0"/>
          <w:sz w:val="30"/>
          <w:szCs w:val="30"/>
        </w:rPr>
        <w:t>企业</w:t>
      </w:r>
      <w:r>
        <w:rPr>
          <w:rFonts w:hint="eastAsia" w:ascii="Times New Roman" w:hAnsi="Times New Roman" w:eastAsia="仿宋_GB2312" w:cs="Times New Roman"/>
          <w:color w:val="auto"/>
          <w:kern w:val="0"/>
          <w:sz w:val="30"/>
          <w:szCs w:val="30"/>
          <w:lang w:eastAsia="zh-CN"/>
        </w:rPr>
        <w:t>未建立</w:t>
      </w:r>
      <w:r>
        <w:rPr>
          <w:rFonts w:hint="default" w:ascii="Times New Roman" w:hAnsi="Times New Roman" w:eastAsia="仿宋_GB2312" w:cs="Times New Roman"/>
          <w:color w:val="auto"/>
          <w:sz w:val="30"/>
          <w:szCs w:val="30"/>
          <w:lang w:val="en-US" w:eastAsia="zh-CN"/>
        </w:rPr>
        <w:t>完善的跨境资金管理架构、内控制度</w:t>
      </w:r>
      <w:r>
        <w:rPr>
          <w:rFonts w:ascii="Times New Roman" w:hAnsi="Times New Roman" w:eastAsia="仿宋_GB2312" w:cs="Times New Roman"/>
          <w:color w:val="auto"/>
          <w:sz w:val="30"/>
          <w:szCs w:val="30"/>
        </w:rPr>
        <w:t>。</w:t>
      </w:r>
    </w:p>
    <w:p>
      <w:pPr>
        <w:ind w:right="3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w:t>
      </w:r>
    </w:p>
    <w:p>
      <w:pPr>
        <w:ind w:right="30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基本流程图</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仿宋_GB2312" w:cs="Times New Roman"/>
          <w:color w:val="auto"/>
          <w:sz w:val="30"/>
          <w:szCs w:val="30"/>
        </w:rPr>
      </w:pPr>
      <w:r>
        <w:rPr>
          <w:rFonts w:ascii="Times New Roman" w:hAnsi="Times New Roman" w:eastAsia="仿宋_GB2312" w:cs="Times New Roman"/>
          <w:color w:val="auto"/>
          <w:kern w:val="2"/>
          <w:sz w:val="30"/>
          <w:szCs w:val="30"/>
          <w:lang w:val="en-US" w:eastAsia="zh-CN" w:bidi="ar-SA"/>
        </w:rPr>
        <w:pict>
          <v:shape id="Flowchart: Terminator 78" o:spid="_x0000_s2050" o:spt="116" type="#_x0000_t116" style="position:absolute;left:0pt;margin-left:-5.25pt;margin-top:4.45pt;height:70.75pt;width:99.8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申请人提出申请，并提交材料</w:t>
                  </w:r>
                </w:p>
              </w:txbxContent>
            </v:textbox>
          </v:shape>
        </w:pict>
      </w:r>
    </w:p>
    <w:p>
      <w:pPr>
        <w:ind w:right="300"/>
        <w:jc w:val="center"/>
        <w:rPr>
          <w:rFonts w:ascii="Times New Roman" w:hAnsi="Times New Roman" w:eastAsia="仿宋_GB2312" w:cs="Times New Roman"/>
          <w:color w:val="auto"/>
          <w:sz w:val="30"/>
          <w:szCs w:val="30"/>
        </w:rPr>
      </w:pPr>
    </w:p>
    <w:p>
      <w:pPr>
        <w:ind w:right="300"/>
        <w:jc w:val="center"/>
        <w:rPr>
          <w:rFonts w:ascii="Times New Roman" w:hAnsi="Times New Roman" w:eastAsia="仿宋_GB2312" w:cs="Times New Roman"/>
          <w:color w:val="auto"/>
          <w:sz w:val="30"/>
          <w:szCs w:val="30"/>
        </w:rPr>
      </w:pPr>
      <w:r>
        <w:rPr>
          <w:rFonts w:ascii="Times New Roman" w:hAnsi="Times New Roman" w:eastAsia="仿宋_GB2312" w:cs="Times New Roman"/>
          <w:color w:val="auto"/>
          <w:kern w:val="2"/>
          <w:sz w:val="30"/>
          <w:szCs w:val="30"/>
          <w:lang w:val="en-US" w:eastAsia="zh-CN" w:bidi="ar-SA"/>
        </w:rPr>
        <w:pict>
          <v:shape id="Straight Connector 86" o:spid="_x0000_s2051" o:spt="32" type="#_x0000_t32" style="position:absolute;left:0pt;margin-left:39.8pt;margin-top:12.8pt;height:43.4pt;width:0.8pt;z-index:251660288;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90" o:spid="_x0000_s2052" o:spt="32" type="#_x0000_t32" style="position:absolute;left:0pt;flip:x;margin-left:41.45pt;margin-top:21.05pt;height:0.05pt;width:232.15pt;z-index:25166131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0" o:spid="_x0000_s2053" o:spt="1" style="position:absolute;left:0pt;margin-left:273.6pt;margin-top:1.6pt;height:33.7pt;width:146.45pt;z-index:2516623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申请人补全材料</w:t>
                  </w:r>
                </w:p>
              </w:txbxContent>
            </v:textbox>
          </v:rect>
        </w:pict>
      </w:r>
    </w:p>
    <w:p>
      <w:pPr>
        <w:ind w:right="300"/>
        <w:jc w:val="left"/>
        <w:rPr>
          <w:rFonts w:ascii="Times New Roman" w:hAnsi="Times New Roman" w:eastAsia="仿宋_GB2312" w:cs="Times New Roman"/>
          <w:color w:val="auto"/>
          <w:sz w:val="30"/>
          <w:szCs w:val="30"/>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color w:val="auto"/>
          <w:kern w:val="2"/>
          <w:sz w:val="30"/>
          <w:szCs w:val="30"/>
          <w:lang w:val="en-US" w:eastAsia="zh-CN" w:bidi="ar-SA"/>
        </w:rPr>
        <w:pict>
          <v:shape id="Straight Connector 94" o:spid="_x0000_s2054" o:spt="32" type="#_x0000_t32" style="position:absolute;left:0pt;margin-left:41.45pt;margin-top:125.3pt;height:57.55pt;width:0.05pt;z-index:251663360;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8" o:spid="_x0000_s2055" o:spt="32" type="#_x0000_t32" style="position:absolute;left:0pt;margin-left:99.95pt;margin-top:92.5pt;height:0.05pt;width:52pt;z-index:251664384;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2" o:spid="_x0000_s2056" o:spt="1" style="position:absolute;left:0pt;margin-left:151.95pt;margin-top:80pt;height:45.3pt;width:268.1pt;z-index:25166540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依法不予受理的，作出不予受理决定，出具不予受理通知书</w:t>
                  </w:r>
                </w:p>
              </w:txbxContent>
            </v:textbox>
          </v:rect>
        </w:pict>
      </w:r>
      <w:r>
        <w:rPr>
          <w:rFonts w:ascii="Times New Roman" w:hAnsi="Times New Roman" w:eastAsia="仿宋_GB2312" w:cs="Times New Roman"/>
          <w:color w:val="auto"/>
          <w:kern w:val="2"/>
          <w:sz w:val="30"/>
          <w:szCs w:val="30"/>
          <w:lang w:val="en-US" w:eastAsia="zh-CN" w:bidi="ar-SA"/>
        </w:rPr>
        <w:pict>
          <v:shape id="Flowchart: Terminator 85" o:spid="_x0000_s2057" o:spt="116" type="#_x0000_t116" style="position:absolute;left:0pt;margin-left:-5.25pt;margin-top:375.2pt;height:63.55pt;width:197.6pt;z-index:25166643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予以许可</w:t>
                  </w:r>
                </w:p>
              </w:txbxContent>
            </v:textbox>
          </v:shape>
        </w:pict>
      </w:r>
      <w:r>
        <w:rPr>
          <w:rFonts w:ascii="Times New Roman" w:hAnsi="Times New Roman" w:eastAsia="仿宋_GB2312" w:cs="Times New Roman"/>
          <w:color w:val="auto"/>
          <w:kern w:val="2"/>
          <w:sz w:val="30"/>
          <w:szCs w:val="30"/>
          <w:lang w:val="en-US" w:eastAsia="zh-CN" w:bidi="ar-SA"/>
        </w:rPr>
        <w:pict>
          <v:shape id="Flowchart: Terminator 84" o:spid="_x0000_s2058" o:spt="116" type="#_x0000_t116" style="position:absolute;left:0pt;margin-left:198.8pt;margin-top:375.2pt;height:63.55pt;width:180.85pt;z-index:25166745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依法作出不予许可决定</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2" o:spid="_x0000_s2059" o:spt="32" type="#_x0000_t32" style="position:absolute;left:0pt;margin-left:237.25pt;margin-top:323.1pt;height:52.1pt;width:0.05pt;z-index:251668480;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93" o:spid="_x0000_s2060" o:spt="32" type="#_x0000_t32" style="position:absolute;left:0pt;margin-left:117.65pt;margin-top:323.1pt;height:52.1pt;width:0.05pt;z-index:251669504;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Flowchart: Decision 96" o:spid="_x0000_s2061" o:spt="110" type="#_x0000_t110" style="position:absolute;left:0pt;margin-left:94.55pt;margin-top:265.4pt;height:86.2pt;width:166.25pt;z-index:25167052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315" w:firstLineChars="150"/>
                  </w:pPr>
                  <w:r>
                    <w:rPr>
                      <w:rFonts w:hint="eastAsia"/>
                    </w:rPr>
                    <w:t>审查报批</w:t>
                  </w:r>
                </w:p>
              </w:txbxContent>
            </v:textbox>
          </v:shape>
        </w:pict>
      </w:r>
      <w:r>
        <w:rPr>
          <w:rFonts w:ascii="Times New Roman" w:hAnsi="Times New Roman" w:eastAsia="仿宋_GB2312" w:cs="Times New Roman"/>
          <w:color w:val="auto"/>
          <w:kern w:val="2"/>
          <w:sz w:val="30"/>
          <w:szCs w:val="30"/>
          <w:lang w:val="en-US" w:eastAsia="zh-CN" w:bidi="ar-SA"/>
        </w:rPr>
        <w:pict>
          <v:shape id="Straight Connector 91" o:spid="_x0000_s2062" o:spt="32" type="#_x0000_t32" style="position:absolute;left:0pt;margin-left:179.6pt;margin-top:231.45pt;height:33.95pt;width:0.05pt;z-index:25167155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7" o:spid="_x0000_s2063" o:spt="32" type="#_x0000_t32" style="position:absolute;left:0pt;margin-left:103.8pt;margin-top:61.4pt;height:0.05pt;width:48.15pt;z-index:251672576;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Flowchart: Decision 79" o:spid="_x0000_s2064" o:spt="110" type="#_x0000_t110" style="position:absolute;left:0pt;margin-left:-42.55pt;margin-top:25pt;height:100.3pt;width:166.25pt;z-index:25167360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接件并于5个工作日内作出是否受理决定</w:t>
                  </w:r>
                </w:p>
              </w:txbxContent>
            </v:textbox>
          </v:shape>
        </w:pict>
      </w:r>
      <w:r>
        <w:rPr>
          <w:rFonts w:ascii="Times New Roman" w:hAnsi="Times New Roman" w:eastAsia="仿宋_GB2312" w:cs="Times New Roman"/>
          <w:color w:val="auto"/>
          <w:kern w:val="2"/>
          <w:sz w:val="30"/>
          <w:szCs w:val="30"/>
          <w:lang w:val="en-US" w:eastAsia="zh-CN" w:bidi="ar-SA"/>
        </w:rPr>
        <w:pict>
          <v:rect id="Rectangle 83" o:spid="_x0000_s2065" o:spt="1" style="position:absolute;left:0pt;margin-left:81.7pt;margin-top:162.05pt;height:69.4pt;width:210.9pt;z-index:25167462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材料齐全的，依法予以受理</w:t>
                  </w:r>
                </w:p>
                <w:p/>
              </w:txbxContent>
            </v:textbox>
          </v:rect>
        </w:pict>
      </w:r>
      <w:r>
        <w:rPr>
          <w:rFonts w:ascii="Times New Roman" w:hAnsi="Times New Roman" w:eastAsia="仿宋_GB2312" w:cs="Times New Roman"/>
          <w:color w:val="auto"/>
          <w:kern w:val="2"/>
          <w:sz w:val="30"/>
          <w:szCs w:val="30"/>
          <w:lang w:val="en-US" w:eastAsia="zh-CN" w:bidi="ar-SA"/>
        </w:rPr>
        <w:pict>
          <v:shape id="Straight Connector 95" o:spid="_x0000_s2066" o:spt="32" type="#_x0000_t32" style="position:absolute;left:0pt;margin-left:40.6pt;margin-top:182.85pt;height:0.05pt;width:41.1pt;z-index:251675648;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shape id="Straight Connector 89" o:spid="_x0000_s2067" o:spt="32" type="#_x0000_t32" style="position:absolute;left:0pt;flip:y;margin-left:345.35pt;margin-top:4.1pt;height:44.75pt;width:0.05pt;z-index:251676672;mso-width-relative:page;mso-height-relative:page;" o:connectortype="straight" fillcolor="#FFFFFF" filled="f" o:preferrelative="t" stroked="t" coordsize="21600,21600">
            <v:path arrowok="t"/>
            <v:fill on="f" color2="#FFFFFF" focussize="0,0"/>
            <v:stroke color="#000000" color2="#FFFFFF" miterlimit="2" endarrow="block"/>
            <v:imagedata gain="65536f" blacklevel="0f" gamma="0" o:title=""/>
            <o:lock v:ext="edit" position="f" selection="f" grouping="f" rotation="f" cropping="f" text="f" aspectratio="f"/>
          </v:shape>
        </w:pict>
      </w:r>
      <w:r>
        <w:rPr>
          <w:rFonts w:ascii="Times New Roman" w:hAnsi="Times New Roman" w:eastAsia="仿宋_GB2312" w:cs="Times New Roman"/>
          <w:color w:val="auto"/>
          <w:kern w:val="2"/>
          <w:sz w:val="30"/>
          <w:szCs w:val="30"/>
          <w:lang w:val="en-US" w:eastAsia="zh-CN" w:bidi="ar-SA"/>
        </w:rPr>
        <w:pict>
          <v:rect id="Rectangle 81" o:spid="_x0000_s2068" o:spt="1" style="position:absolute;left:0pt;margin-left:151.95pt;margin-top:48.85pt;height:25pt;width:268.1pt;z-index:25167769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材料不全或不符合法定形式的，一次性告知补正材料</w:t>
                  </w:r>
                </w:p>
              </w:txbxContent>
            </v:textbox>
          </v:rect>
        </w:pict>
      </w:r>
    </w:p>
    <w:p>
      <w:pPr>
        <w:rPr>
          <w:rFonts w:ascii="Times New Roman" w:hAnsi="Times New Roman" w:cs="Times New Roman"/>
          <w:color w:val="auto"/>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15</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9B19B3"/>
    <w:rsid w:val="000003C0"/>
    <w:rsid w:val="000021D6"/>
    <w:rsid w:val="00004BD5"/>
    <w:rsid w:val="00007A67"/>
    <w:rsid w:val="000233D5"/>
    <w:rsid w:val="00027E45"/>
    <w:rsid w:val="000351A4"/>
    <w:rsid w:val="00037A07"/>
    <w:rsid w:val="0004414D"/>
    <w:rsid w:val="00050681"/>
    <w:rsid w:val="00061C5F"/>
    <w:rsid w:val="000652D6"/>
    <w:rsid w:val="00070716"/>
    <w:rsid w:val="000B0E34"/>
    <w:rsid w:val="000D3467"/>
    <w:rsid w:val="000D61BB"/>
    <w:rsid w:val="000E2AD6"/>
    <w:rsid w:val="000E2D98"/>
    <w:rsid w:val="000E55BC"/>
    <w:rsid w:val="000E5910"/>
    <w:rsid w:val="000F1C17"/>
    <w:rsid w:val="000F24B5"/>
    <w:rsid w:val="00102A7C"/>
    <w:rsid w:val="00106460"/>
    <w:rsid w:val="001156C5"/>
    <w:rsid w:val="001172B3"/>
    <w:rsid w:val="00134BF3"/>
    <w:rsid w:val="00140DE8"/>
    <w:rsid w:val="001418D3"/>
    <w:rsid w:val="001437E6"/>
    <w:rsid w:val="00154329"/>
    <w:rsid w:val="00163202"/>
    <w:rsid w:val="001870AC"/>
    <w:rsid w:val="00193A89"/>
    <w:rsid w:val="00195B37"/>
    <w:rsid w:val="001A1E83"/>
    <w:rsid w:val="001A61DE"/>
    <w:rsid w:val="001C084E"/>
    <w:rsid w:val="001C2B84"/>
    <w:rsid w:val="001C3568"/>
    <w:rsid w:val="001C4BB1"/>
    <w:rsid w:val="001D095F"/>
    <w:rsid w:val="001D2DD9"/>
    <w:rsid w:val="001D56F0"/>
    <w:rsid w:val="001D5C07"/>
    <w:rsid w:val="001E37D7"/>
    <w:rsid w:val="001F1B4B"/>
    <w:rsid w:val="001F2A75"/>
    <w:rsid w:val="00212F1A"/>
    <w:rsid w:val="00215F91"/>
    <w:rsid w:val="002178A9"/>
    <w:rsid w:val="002226D7"/>
    <w:rsid w:val="0023361F"/>
    <w:rsid w:val="00233CB8"/>
    <w:rsid w:val="00233F9E"/>
    <w:rsid w:val="00235C6D"/>
    <w:rsid w:val="002453CB"/>
    <w:rsid w:val="00253212"/>
    <w:rsid w:val="00254875"/>
    <w:rsid w:val="00256B77"/>
    <w:rsid w:val="002654CB"/>
    <w:rsid w:val="00266E25"/>
    <w:rsid w:val="00273E50"/>
    <w:rsid w:val="002756E4"/>
    <w:rsid w:val="002A0834"/>
    <w:rsid w:val="002B0553"/>
    <w:rsid w:val="002B05F7"/>
    <w:rsid w:val="002B3F08"/>
    <w:rsid w:val="002B4E65"/>
    <w:rsid w:val="002C7EAF"/>
    <w:rsid w:val="002F2577"/>
    <w:rsid w:val="002F6202"/>
    <w:rsid w:val="00316E50"/>
    <w:rsid w:val="00316F0E"/>
    <w:rsid w:val="00321272"/>
    <w:rsid w:val="00325547"/>
    <w:rsid w:val="00326B8C"/>
    <w:rsid w:val="003314E4"/>
    <w:rsid w:val="00331E1E"/>
    <w:rsid w:val="003371EB"/>
    <w:rsid w:val="00337ED9"/>
    <w:rsid w:val="00345800"/>
    <w:rsid w:val="003508A5"/>
    <w:rsid w:val="00354A7C"/>
    <w:rsid w:val="00364BB9"/>
    <w:rsid w:val="00377012"/>
    <w:rsid w:val="00387FD0"/>
    <w:rsid w:val="00396CD5"/>
    <w:rsid w:val="003A1721"/>
    <w:rsid w:val="003A2E79"/>
    <w:rsid w:val="003A4630"/>
    <w:rsid w:val="003A496B"/>
    <w:rsid w:val="003B1325"/>
    <w:rsid w:val="003B6057"/>
    <w:rsid w:val="003C3480"/>
    <w:rsid w:val="003C5C1F"/>
    <w:rsid w:val="003D1EDA"/>
    <w:rsid w:val="003D1F9B"/>
    <w:rsid w:val="003D2BBB"/>
    <w:rsid w:val="003D3BB2"/>
    <w:rsid w:val="003D7B66"/>
    <w:rsid w:val="00404086"/>
    <w:rsid w:val="0040580D"/>
    <w:rsid w:val="00413782"/>
    <w:rsid w:val="00417C88"/>
    <w:rsid w:val="004311DF"/>
    <w:rsid w:val="00436919"/>
    <w:rsid w:val="00437717"/>
    <w:rsid w:val="0044021E"/>
    <w:rsid w:val="00445A64"/>
    <w:rsid w:val="0045411C"/>
    <w:rsid w:val="004573E4"/>
    <w:rsid w:val="00460F9A"/>
    <w:rsid w:val="004735FC"/>
    <w:rsid w:val="004924A7"/>
    <w:rsid w:val="004935B2"/>
    <w:rsid w:val="00497B08"/>
    <w:rsid w:val="00497FC6"/>
    <w:rsid w:val="004A6503"/>
    <w:rsid w:val="004B1BDA"/>
    <w:rsid w:val="004B3A9F"/>
    <w:rsid w:val="004C5477"/>
    <w:rsid w:val="004D3F83"/>
    <w:rsid w:val="004E4AD4"/>
    <w:rsid w:val="004E746C"/>
    <w:rsid w:val="004E7E2D"/>
    <w:rsid w:val="00512742"/>
    <w:rsid w:val="00512786"/>
    <w:rsid w:val="00514ABC"/>
    <w:rsid w:val="005263C0"/>
    <w:rsid w:val="00544909"/>
    <w:rsid w:val="00551A5A"/>
    <w:rsid w:val="0056706F"/>
    <w:rsid w:val="00567128"/>
    <w:rsid w:val="005845DF"/>
    <w:rsid w:val="00584DF2"/>
    <w:rsid w:val="0058649D"/>
    <w:rsid w:val="00593352"/>
    <w:rsid w:val="00595487"/>
    <w:rsid w:val="005A32AB"/>
    <w:rsid w:val="005A3A70"/>
    <w:rsid w:val="005A61D4"/>
    <w:rsid w:val="005B322C"/>
    <w:rsid w:val="005C4A17"/>
    <w:rsid w:val="005E1F6F"/>
    <w:rsid w:val="005E6464"/>
    <w:rsid w:val="005F1522"/>
    <w:rsid w:val="005F1DCD"/>
    <w:rsid w:val="005F3C89"/>
    <w:rsid w:val="005F5952"/>
    <w:rsid w:val="006017F9"/>
    <w:rsid w:val="00603617"/>
    <w:rsid w:val="00611E81"/>
    <w:rsid w:val="0064768C"/>
    <w:rsid w:val="006509E6"/>
    <w:rsid w:val="00654AA7"/>
    <w:rsid w:val="006553EF"/>
    <w:rsid w:val="006603EC"/>
    <w:rsid w:val="006667EE"/>
    <w:rsid w:val="006675D3"/>
    <w:rsid w:val="00673F17"/>
    <w:rsid w:val="00675C64"/>
    <w:rsid w:val="006847AE"/>
    <w:rsid w:val="00693E03"/>
    <w:rsid w:val="00696646"/>
    <w:rsid w:val="00696A7B"/>
    <w:rsid w:val="006B1D92"/>
    <w:rsid w:val="006B28AD"/>
    <w:rsid w:val="006B3076"/>
    <w:rsid w:val="006B5EF5"/>
    <w:rsid w:val="006B6370"/>
    <w:rsid w:val="006B71D2"/>
    <w:rsid w:val="006C4C39"/>
    <w:rsid w:val="006C5121"/>
    <w:rsid w:val="006D3427"/>
    <w:rsid w:val="006D6A5B"/>
    <w:rsid w:val="006E7C82"/>
    <w:rsid w:val="006F61C6"/>
    <w:rsid w:val="0071311B"/>
    <w:rsid w:val="007157B6"/>
    <w:rsid w:val="0072541C"/>
    <w:rsid w:val="00732949"/>
    <w:rsid w:val="0073340E"/>
    <w:rsid w:val="00735659"/>
    <w:rsid w:val="00735A28"/>
    <w:rsid w:val="007510E5"/>
    <w:rsid w:val="007544BC"/>
    <w:rsid w:val="007632A0"/>
    <w:rsid w:val="007634FF"/>
    <w:rsid w:val="0076451B"/>
    <w:rsid w:val="007704CD"/>
    <w:rsid w:val="0078686C"/>
    <w:rsid w:val="00795D93"/>
    <w:rsid w:val="007A1978"/>
    <w:rsid w:val="007B0E48"/>
    <w:rsid w:val="007B0EBE"/>
    <w:rsid w:val="007B6675"/>
    <w:rsid w:val="007D1D7B"/>
    <w:rsid w:val="007E7441"/>
    <w:rsid w:val="007F233E"/>
    <w:rsid w:val="0080044E"/>
    <w:rsid w:val="0081373A"/>
    <w:rsid w:val="00815287"/>
    <w:rsid w:val="00824D07"/>
    <w:rsid w:val="008269C3"/>
    <w:rsid w:val="00827911"/>
    <w:rsid w:val="00832D42"/>
    <w:rsid w:val="00833A95"/>
    <w:rsid w:val="00834DF4"/>
    <w:rsid w:val="00837990"/>
    <w:rsid w:val="00841DE9"/>
    <w:rsid w:val="00842C2F"/>
    <w:rsid w:val="00846D5D"/>
    <w:rsid w:val="00864463"/>
    <w:rsid w:val="00865B37"/>
    <w:rsid w:val="00871300"/>
    <w:rsid w:val="00871BB2"/>
    <w:rsid w:val="0087457D"/>
    <w:rsid w:val="008767C3"/>
    <w:rsid w:val="00876926"/>
    <w:rsid w:val="008A068A"/>
    <w:rsid w:val="008A0A76"/>
    <w:rsid w:val="008A53DB"/>
    <w:rsid w:val="008A6143"/>
    <w:rsid w:val="008A6DDB"/>
    <w:rsid w:val="008A6EEC"/>
    <w:rsid w:val="008B019D"/>
    <w:rsid w:val="008B4359"/>
    <w:rsid w:val="008C33D3"/>
    <w:rsid w:val="008D285E"/>
    <w:rsid w:val="008E0D30"/>
    <w:rsid w:val="008E324F"/>
    <w:rsid w:val="008E57E6"/>
    <w:rsid w:val="008E6700"/>
    <w:rsid w:val="008F3E08"/>
    <w:rsid w:val="008F5475"/>
    <w:rsid w:val="00916523"/>
    <w:rsid w:val="009245CA"/>
    <w:rsid w:val="009347F8"/>
    <w:rsid w:val="009379DE"/>
    <w:rsid w:val="00945AC3"/>
    <w:rsid w:val="009516B1"/>
    <w:rsid w:val="009545B6"/>
    <w:rsid w:val="009568D7"/>
    <w:rsid w:val="00960764"/>
    <w:rsid w:val="009640DB"/>
    <w:rsid w:val="00966422"/>
    <w:rsid w:val="00970C40"/>
    <w:rsid w:val="009732FA"/>
    <w:rsid w:val="00976900"/>
    <w:rsid w:val="00977A16"/>
    <w:rsid w:val="00981057"/>
    <w:rsid w:val="00984619"/>
    <w:rsid w:val="009849B6"/>
    <w:rsid w:val="00985C45"/>
    <w:rsid w:val="00986690"/>
    <w:rsid w:val="0098731F"/>
    <w:rsid w:val="009976AB"/>
    <w:rsid w:val="009A32EE"/>
    <w:rsid w:val="009A6053"/>
    <w:rsid w:val="009B0566"/>
    <w:rsid w:val="009B19B3"/>
    <w:rsid w:val="009B4EC4"/>
    <w:rsid w:val="009D2CA3"/>
    <w:rsid w:val="009D7865"/>
    <w:rsid w:val="009F0EE6"/>
    <w:rsid w:val="00A011E0"/>
    <w:rsid w:val="00A019DC"/>
    <w:rsid w:val="00A053EC"/>
    <w:rsid w:val="00A20682"/>
    <w:rsid w:val="00A20869"/>
    <w:rsid w:val="00A21B4B"/>
    <w:rsid w:val="00A23CC9"/>
    <w:rsid w:val="00A31633"/>
    <w:rsid w:val="00A333A8"/>
    <w:rsid w:val="00A33C4E"/>
    <w:rsid w:val="00A42BA0"/>
    <w:rsid w:val="00A437F1"/>
    <w:rsid w:val="00A4638A"/>
    <w:rsid w:val="00A56380"/>
    <w:rsid w:val="00A724BB"/>
    <w:rsid w:val="00A76F2C"/>
    <w:rsid w:val="00A828DC"/>
    <w:rsid w:val="00A85917"/>
    <w:rsid w:val="00A86C39"/>
    <w:rsid w:val="00AA2782"/>
    <w:rsid w:val="00AB1454"/>
    <w:rsid w:val="00AC2C69"/>
    <w:rsid w:val="00AD6356"/>
    <w:rsid w:val="00AD7F95"/>
    <w:rsid w:val="00AE1454"/>
    <w:rsid w:val="00AE1E55"/>
    <w:rsid w:val="00AF3753"/>
    <w:rsid w:val="00AF57E1"/>
    <w:rsid w:val="00B03FA1"/>
    <w:rsid w:val="00B047C5"/>
    <w:rsid w:val="00B063D5"/>
    <w:rsid w:val="00B11981"/>
    <w:rsid w:val="00B14564"/>
    <w:rsid w:val="00B150F1"/>
    <w:rsid w:val="00B1706B"/>
    <w:rsid w:val="00B241DC"/>
    <w:rsid w:val="00B24922"/>
    <w:rsid w:val="00B327C8"/>
    <w:rsid w:val="00B35ADB"/>
    <w:rsid w:val="00B37501"/>
    <w:rsid w:val="00B43476"/>
    <w:rsid w:val="00B44E28"/>
    <w:rsid w:val="00B525C6"/>
    <w:rsid w:val="00B61130"/>
    <w:rsid w:val="00B614A1"/>
    <w:rsid w:val="00B73A28"/>
    <w:rsid w:val="00B84802"/>
    <w:rsid w:val="00B87216"/>
    <w:rsid w:val="00B94AEF"/>
    <w:rsid w:val="00BA5B48"/>
    <w:rsid w:val="00BB3C0B"/>
    <w:rsid w:val="00BB6FB7"/>
    <w:rsid w:val="00BB71AE"/>
    <w:rsid w:val="00BC4ACD"/>
    <w:rsid w:val="00BD1960"/>
    <w:rsid w:val="00BE47E8"/>
    <w:rsid w:val="00BF58A4"/>
    <w:rsid w:val="00BF69EA"/>
    <w:rsid w:val="00C01288"/>
    <w:rsid w:val="00C20EC9"/>
    <w:rsid w:val="00C266D2"/>
    <w:rsid w:val="00C26BC0"/>
    <w:rsid w:val="00C314B5"/>
    <w:rsid w:val="00C31ECE"/>
    <w:rsid w:val="00C34F82"/>
    <w:rsid w:val="00C4111F"/>
    <w:rsid w:val="00C5180B"/>
    <w:rsid w:val="00C545CE"/>
    <w:rsid w:val="00C5521A"/>
    <w:rsid w:val="00C57574"/>
    <w:rsid w:val="00C659B4"/>
    <w:rsid w:val="00C66EDA"/>
    <w:rsid w:val="00C71261"/>
    <w:rsid w:val="00C903FE"/>
    <w:rsid w:val="00C90E8C"/>
    <w:rsid w:val="00C95743"/>
    <w:rsid w:val="00CA4D41"/>
    <w:rsid w:val="00CA5928"/>
    <w:rsid w:val="00CB1ED8"/>
    <w:rsid w:val="00CB751C"/>
    <w:rsid w:val="00CC02F5"/>
    <w:rsid w:val="00CC2FE6"/>
    <w:rsid w:val="00CD6F3B"/>
    <w:rsid w:val="00CE1482"/>
    <w:rsid w:val="00CE55F6"/>
    <w:rsid w:val="00CF249D"/>
    <w:rsid w:val="00CF5E83"/>
    <w:rsid w:val="00D007CE"/>
    <w:rsid w:val="00D01106"/>
    <w:rsid w:val="00D07C35"/>
    <w:rsid w:val="00D143B3"/>
    <w:rsid w:val="00D16C12"/>
    <w:rsid w:val="00D224E4"/>
    <w:rsid w:val="00D3006E"/>
    <w:rsid w:val="00D327EC"/>
    <w:rsid w:val="00D3615F"/>
    <w:rsid w:val="00D402BA"/>
    <w:rsid w:val="00D408D0"/>
    <w:rsid w:val="00D55E8C"/>
    <w:rsid w:val="00D80592"/>
    <w:rsid w:val="00D81AB8"/>
    <w:rsid w:val="00D85E50"/>
    <w:rsid w:val="00D92ED1"/>
    <w:rsid w:val="00DA5B01"/>
    <w:rsid w:val="00DB2D9A"/>
    <w:rsid w:val="00DD10B4"/>
    <w:rsid w:val="00DD4792"/>
    <w:rsid w:val="00DD6A30"/>
    <w:rsid w:val="00DE791B"/>
    <w:rsid w:val="00DF15BD"/>
    <w:rsid w:val="00DF7356"/>
    <w:rsid w:val="00E02AE9"/>
    <w:rsid w:val="00E049C8"/>
    <w:rsid w:val="00E129F8"/>
    <w:rsid w:val="00E144BB"/>
    <w:rsid w:val="00E27EE9"/>
    <w:rsid w:val="00E30DEB"/>
    <w:rsid w:val="00E33EFE"/>
    <w:rsid w:val="00E430A6"/>
    <w:rsid w:val="00E46A26"/>
    <w:rsid w:val="00E505E0"/>
    <w:rsid w:val="00E55B0D"/>
    <w:rsid w:val="00E61CED"/>
    <w:rsid w:val="00E645AF"/>
    <w:rsid w:val="00E75B2F"/>
    <w:rsid w:val="00E77119"/>
    <w:rsid w:val="00E92470"/>
    <w:rsid w:val="00E955CC"/>
    <w:rsid w:val="00EA12C1"/>
    <w:rsid w:val="00EA2A2D"/>
    <w:rsid w:val="00EA3634"/>
    <w:rsid w:val="00EA5CDF"/>
    <w:rsid w:val="00EA6B80"/>
    <w:rsid w:val="00EB156E"/>
    <w:rsid w:val="00EB574D"/>
    <w:rsid w:val="00EB6DFA"/>
    <w:rsid w:val="00EC0133"/>
    <w:rsid w:val="00EC36EB"/>
    <w:rsid w:val="00EC7A79"/>
    <w:rsid w:val="00ED3C09"/>
    <w:rsid w:val="00EE1E1E"/>
    <w:rsid w:val="00EE29F0"/>
    <w:rsid w:val="00EE36F3"/>
    <w:rsid w:val="00EE69DD"/>
    <w:rsid w:val="00EF5BC8"/>
    <w:rsid w:val="00F005E2"/>
    <w:rsid w:val="00F10FD7"/>
    <w:rsid w:val="00F16F75"/>
    <w:rsid w:val="00F201F4"/>
    <w:rsid w:val="00F21D92"/>
    <w:rsid w:val="00F32657"/>
    <w:rsid w:val="00F36247"/>
    <w:rsid w:val="00F405D0"/>
    <w:rsid w:val="00F4072A"/>
    <w:rsid w:val="00F416D6"/>
    <w:rsid w:val="00F424E1"/>
    <w:rsid w:val="00F45FB3"/>
    <w:rsid w:val="00F50CE9"/>
    <w:rsid w:val="00F52218"/>
    <w:rsid w:val="00F53245"/>
    <w:rsid w:val="00F5552D"/>
    <w:rsid w:val="00F61D32"/>
    <w:rsid w:val="00F622F9"/>
    <w:rsid w:val="00F62A8B"/>
    <w:rsid w:val="00F6439F"/>
    <w:rsid w:val="00F8030E"/>
    <w:rsid w:val="00F8305D"/>
    <w:rsid w:val="00F85E60"/>
    <w:rsid w:val="00F87754"/>
    <w:rsid w:val="00FA48B7"/>
    <w:rsid w:val="00FC6843"/>
    <w:rsid w:val="00FC754C"/>
    <w:rsid w:val="00FD19D2"/>
    <w:rsid w:val="00FF083E"/>
    <w:rsid w:val="00FF35CC"/>
    <w:rsid w:val="02961C63"/>
    <w:rsid w:val="067F2731"/>
    <w:rsid w:val="0EEC5902"/>
    <w:rsid w:val="0EF213FB"/>
    <w:rsid w:val="0F946FD9"/>
    <w:rsid w:val="0FAF3253"/>
    <w:rsid w:val="11311F96"/>
    <w:rsid w:val="16017BE0"/>
    <w:rsid w:val="17046B3B"/>
    <w:rsid w:val="1C6505E8"/>
    <w:rsid w:val="1CDB3593"/>
    <w:rsid w:val="20603A0B"/>
    <w:rsid w:val="2406637B"/>
    <w:rsid w:val="24D52598"/>
    <w:rsid w:val="254914F1"/>
    <w:rsid w:val="36A130A2"/>
    <w:rsid w:val="3996388A"/>
    <w:rsid w:val="3C0D722D"/>
    <w:rsid w:val="3DF9176C"/>
    <w:rsid w:val="3F821FA5"/>
    <w:rsid w:val="408940CF"/>
    <w:rsid w:val="41F44A83"/>
    <w:rsid w:val="43F40AC5"/>
    <w:rsid w:val="447B0B22"/>
    <w:rsid w:val="46505364"/>
    <w:rsid w:val="47616255"/>
    <w:rsid w:val="47B6374C"/>
    <w:rsid w:val="48892395"/>
    <w:rsid w:val="52566D98"/>
    <w:rsid w:val="56E32F0F"/>
    <w:rsid w:val="5894029F"/>
    <w:rsid w:val="5DA614D2"/>
    <w:rsid w:val="619A694B"/>
    <w:rsid w:val="67D0705F"/>
    <w:rsid w:val="6C6D76D3"/>
    <w:rsid w:val="73433371"/>
    <w:rsid w:val="76D760E6"/>
    <w:rsid w:val="7B733660"/>
    <w:rsid w:val="7C300A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Straight Connector 86"/>
        <o:r id="V:Rule2" type="connector" idref="#Straight Connector 90"/>
        <o:r id="V:Rule3" type="connector" idref="#Straight Connector 94"/>
        <o:r id="V:Rule4" type="connector" idref="#Straight Connector 88"/>
        <o:r id="V:Rule5" type="connector" idref="#Straight Connector 92"/>
        <o:r id="V:Rule6" type="connector" idref="#Straight Connector 93"/>
        <o:r id="V:Rule7" type="connector" idref="#Straight Connector 91"/>
        <o:r id="V:Rule8" type="connector" idref="#Straight Connector 87"/>
        <o:r id="V:Rule9" type="connector" idref="#Straight Connector 95"/>
        <o:r id="V:Rule10" type="connector" idref="#Straight Connector 8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uiPriority w:val="39"/>
    <w:pPr>
      <w:ind w:left="840" w:leftChars="400"/>
    </w:pPr>
  </w:style>
  <w:style w:type="paragraph" w:styleId="3">
    <w:name w:val="Balloon Text"/>
    <w:basedOn w:val="1"/>
    <w:link w:val="15"/>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paragraph" w:customStyle="1" w:styleId="10">
    <w:name w:val="List Paragraph"/>
    <w:basedOn w:val="1"/>
    <w:qFormat/>
    <w:uiPriority w:val="34"/>
    <w:pPr>
      <w:ind w:firstLine="420" w:firstLineChars="200"/>
    </w:pPr>
  </w:style>
  <w:style w:type="paragraph" w:customStyle="1" w:styleId="11">
    <w:name w:val="Revision"/>
    <w:hidden/>
    <w:semiHidden/>
    <w:qFormat/>
    <w:uiPriority w:val="99"/>
    <w:rPr>
      <w:rFonts w:ascii="Calibri" w:hAnsi="Calibri" w:eastAsia="宋体" w:cs="黑体"/>
      <w:kern w:val="2"/>
      <w:sz w:val="21"/>
      <w:szCs w:val="22"/>
      <w:lang w:val="en-US" w:eastAsia="zh-CN" w:bidi="ar-SA"/>
    </w:rPr>
  </w:style>
  <w:style w:type="paragraph" w:customStyle="1" w:styleId="12">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批注框文本 Char"/>
    <w:basedOn w:val="8"/>
    <w:link w:val="3"/>
    <w:semiHidden/>
    <w:qFormat/>
    <w:uiPriority w:val="99"/>
    <w:rPr>
      <w:sz w:val="18"/>
      <w:szCs w:val="18"/>
    </w:rPr>
  </w:style>
  <w:style w:type="character" w:customStyle="1" w:styleId="16">
    <w:name w:val="mini-outpu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4395</Words>
  <Characters>4610</Characters>
  <Lines>41</Lines>
  <Paragraphs>11</Paragraphs>
  <TotalTime>0</TotalTime>
  <ScaleCrop>false</ScaleCrop>
  <LinksUpToDate>false</LinksUpToDate>
  <CharactersWithSpaces>4667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2020-04-22T08:12:00Z</dcterms:created>
  <dc:creator>吴</dc:creator>
  <cp:lastModifiedBy>丁蒙/办公室/南宁/PBC</cp:lastModifiedBy>
  <cp:lastPrinted>2020-05-08T08:38:00Z</cp:lastPrinted>
  <dcterms:modified xsi:type="dcterms:W3CDTF">2023-08-30T09:44:41Z</dcterms:modified>
  <dc:title>编号：57001-2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5649954A5D02471491243B2E9056CD60_12</vt:lpwstr>
  </property>
</Properties>
</file>