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编号：</w:t>
      </w:r>
      <w:r>
        <w:rPr>
          <w:rFonts w:hint="eastAsia" w:ascii="Times New Roman" w:hAnsi="Times New Roman" w:eastAsia="黑体" w:cs="Times New Roman"/>
          <w:color w:val="auto"/>
          <w:sz w:val="30"/>
          <w:szCs w:val="30"/>
        </w:rPr>
        <w:t>000171101002</w:t>
      </w:r>
      <w:r>
        <w:rPr>
          <w:rFonts w:ascii="Times New Roman" w:hAnsi="Times New Roman" w:eastAsia="黑体" w:cs="Times New Roman"/>
          <w:color w:val="auto"/>
          <w:sz w:val="30"/>
          <w:szCs w:val="30"/>
        </w:rPr>
        <w:t xml:space="preserve">              </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hint="eastAsia" w:ascii="Times New Roman" w:hAnsi="Times New Roman" w:eastAsia="黑体" w:cs="Times New Roman"/>
          <w:color w:val="auto"/>
          <w:kern w:val="2"/>
          <w:sz w:val="52"/>
          <w:szCs w:val="52"/>
          <w:lang w:val="en-US" w:eastAsia="zh-CN" w:bidi="ar-SA"/>
        </w:rPr>
      </w:pPr>
      <w:r>
        <w:rPr>
          <w:rFonts w:hint="eastAsia" w:ascii="Times New Roman" w:hAnsi="Times New Roman" w:eastAsia="黑体" w:cs="Times New Roman"/>
          <w:color w:val="auto"/>
          <w:kern w:val="2"/>
          <w:sz w:val="52"/>
          <w:szCs w:val="52"/>
          <w:lang w:val="en-US" w:eastAsia="zh-CN" w:bidi="ar-SA"/>
        </w:rPr>
        <w:t>“支付机构经常项目收支登记”行政审批服务指南</w:t>
      </w: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Times New Roman" w:hAnsi="Times New Roman" w:eastAsia="黑体" w:cs="Times New Roman"/>
          <w:color w:val="auto"/>
          <w:kern w:val="2"/>
          <w:sz w:val="52"/>
          <w:szCs w:val="52"/>
          <w:lang w:val="en-US" w:eastAsia="zh-CN" w:bidi="ar-SA"/>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Times New Roman" w:hAnsi="Times New Roman" w:eastAsia="黑体" w:cs="Times New Roman"/>
          <w:color w:val="auto"/>
          <w:kern w:val="2"/>
          <w:sz w:val="52"/>
          <w:szCs w:val="52"/>
          <w:lang w:val="en-US" w:eastAsia="zh-CN" w:bidi="ar-SA"/>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Times New Roman" w:hAnsi="Times New Roman" w:eastAsia="黑体" w:cs="Times New Roman"/>
          <w:color w:val="auto"/>
          <w:kern w:val="2"/>
          <w:sz w:val="52"/>
          <w:szCs w:val="52"/>
          <w:lang w:val="en-US" w:eastAsia="zh-CN" w:bidi="ar-SA"/>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ascii="Times New Roman" w:hAnsi="Times New Roman" w:eastAsia="仿宋_GB2312" w:cs="Times New Roman"/>
          <w:color w:val="auto"/>
          <w:sz w:val="30"/>
          <w:szCs w:val="30"/>
        </w:r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ind w:right="300"/>
        <w:jc w:val="center"/>
        <w:rPr>
          <w:rFonts w:hint="eastAsia" w:ascii="Times New Roman" w:hAnsi="Times New Roman" w:eastAsia="仿宋_GB2312" w:cs="Times New Roman"/>
          <w:b/>
          <w:bCs/>
          <w:color w:val="auto"/>
          <w:sz w:val="30"/>
          <w:szCs w:val="30"/>
          <w:lang w:eastAsia="zh-CN"/>
        </w:rPr>
      </w:pPr>
    </w:p>
    <w:p>
      <w:pPr>
        <w:rPr>
          <w:rFonts w:ascii="Calibri" w:hAnsi="Calibri" w:eastAsia="宋体" w:cs="黑体"/>
          <w:color w:val="auto"/>
          <w:kern w:val="2"/>
          <w:sz w:val="21"/>
          <w:szCs w:val="22"/>
          <w:lang w:val="en-US" w:eastAsia="zh-CN" w:bidi="ar-SA"/>
        </w:rPr>
      </w:pPr>
    </w:p>
    <w:p>
      <w:pPr>
        <w:adjustRightInd w:val="0"/>
        <w:snapToGrid w:val="0"/>
        <w:spacing w:line="360" w:lineRule="auto"/>
        <w:ind w:firstLine="600" w:firstLineChars="200"/>
        <w:jc w:val="left"/>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一、项目信息</w:t>
      </w:r>
    </w:p>
    <w:p>
      <w:pPr>
        <w:adjustRightInd w:val="0"/>
        <w:snapToGrid w:val="0"/>
        <w:spacing w:line="360" w:lineRule="auto"/>
        <w:ind w:firstLine="585"/>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（一）行政许可事项名称及编码</w:t>
      </w:r>
    </w:p>
    <w:p>
      <w:pPr>
        <w:adjustRightInd w:val="0"/>
        <w:snapToGrid w:val="0"/>
        <w:spacing w:line="360" w:lineRule="auto"/>
        <w:ind w:firstLine="585"/>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经常项目收支企业核准【00017110100Y】。</w:t>
      </w:r>
    </w:p>
    <w:p>
      <w:pPr>
        <w:adjustRightInd w:val="0"/>
        <w:snapToGrid w:val="0"/>
        <w:spacing w:line="360" w:lineRule="auto"/>
        <w:ind w:firstLine="585"/>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（二）行政许可事项子项名称及编码</w:t>
      </w:r>
    </w:p>
    <w:p>
      <w:pPr>
        <w:adjustRightInd w:val="0"/>
        <w:snapToGrid w:val="0"/>
        <w:spacing w:line="360" w:lineRule="auto"/>
        <w:ind w:firstLine="585"/>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支付机构经常项目收支登记【000171101002】。</w:t>
      </w:r>
    </w:p>
    <w:p>
      <w:pPr>
        <w:adjustRightInd w:val="0"/>
        <w:snapToGrid w:val="0"/>
        <w:spacing w:line="360" w:lineRule="auto"/>
        <w:ind w:firstLine="585"/>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（三）行政许可事项业务办理项名称及编码</w:t>
      </w:r>
    </w:p>
    <w:p>
      <w:pPr>
        <w:adjustRightInd w:val="0"/>
        <w:snapToGrid w:val="0"/>
        <w:spacing w:line="360" w:lineRule="auto"/>
        <w:ind w:firstLine="585"/>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支付机构经常项目收支登记新办（00017110100201）；</w:t>
      </w:r>
    </w:p>
    <w:p>
      <w:pPr>
        <w:adjustRightInd w:val="0"/>
        <w:snapToGrid w:val="0"/>
        <w:spacing w:line="360" w:lineRule="auto"/>
        <w:ind w:firstLine="585"/>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支付机构经常项目收支登记变更（00017110100202）；</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支付机构经常项目收支登记注销（00017110100203）。</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eastAsia" w:ascii="Times New Roman" w:hAnsi="Times New Roman" w:eastAsia="仿宋_GB2312" w:cs="Times New Roman"/>
          <w:color w:val="auto"/>
          <w:sz w:val="30"/>
          <w:szCs w:val="30"/>
        </w:rPr>
        <w:t>支付机构经常项目收支登记</w:t>
      </w:r>
      <w:r>
        <w:rPr>
          <w:rFonts w:ascii="Times New Roman" w:hAnsi="Times New Roman" w:eastAsia="仿宋_GB2312" w:cs="Times New Roman"/>
          <w:color w:val="auto"/>
          <w:sz w:val="30"/>
          <w:szCs w:val="30"/>
        </w:rPr>
        <w:t>”的申请和办理。</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《国务院对确需保留的行政审批项目设定行政许可的决定》。</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adjustRightInd w:val="0"/>
        <w:snapToGrid w:val="0"/>
        <w:spacing w:line="360" w:lineRule="auto"/>
        <w:ind w:firstLine="600" w:firstLineChars="200"/>
        <w:rPr>
          <w:rFonts w:hint="eastAsia" w:ascii="Times New Roman" w:hAnsi="Times New Roman" w:eastAsia="仿宋_GB2312" w:cs="Times New Roman"/>
          <w:bCs/>
          <w:color w:val="auto"/>
          <w:sz w:val="30"/>
          <w:szCs w:val="30"/>
        </w:rPr>
      </w:pPr>
      <w:r>
        <w:rPr>
          <w:rFonts w:hint="eastAsia" w:ascii="Times New Roman" w:hAnsi="Times New Roman" w:eastAsia="仿宋_GB2312" w:cs="Times New Roman"/>
          <w:bCs/>
          <w:color w:val="auto"/>
          <w:sz w:val="30"/>
          <w:szCs w:val="30"/>
        </w:rPr>
        <w:t>（</w:t>
      </w:r>
      <w:r>
        <w:rPr>
          <w:rFonts w:hint="eastAsia" w:ascii="Times New Roman" w:hAnsi="Times New Roman" w:eastAsia="仿宋_GB2312" w:cs="Times New Roman"/>
          <w:bCs/>
          <w:color w:val="auto"/>
          <w:sz w:val="30"/>
          <w:szCs w:val="30"/>
          <w:lang w:eastAsia="zh-CN"/>
        </w:rPr>
        <w:t>一</w:t>
      </w:r>
      <w:r>
        <w:rPr>
          <w:rFonts w:hint="eastAsia" w:ascii="Times New Roman" w:hAnsi="Times New Roman" w:eastAsia="仿宋_GB2312" w:cs="Times New Roman"/>
          <w:bCs/>
          <w:color w:val="auto"/>
          <w:sz w:val="30"/>
          <w:szCs w:val="30"/>
        </w:rPr>
        <w:t>）《经常项目外汇业务指引（2020年版）》（汇发〔2020〕14号文印发）第一百二十条、第一百二十一条、第一百二十二条、第一百二十四条、第一百二十五条、第一百二十六条、第一百二十七条</w:t>
      </w:r>
      <w:r>
        <w:rPr>
          <w:rFonts w:hint="eastAsia" w:ascii="Times New Roman" w:hAnsi="Times New Roman" w:eastAsia="仿宋_GB2312" w:cs="Times New Roman"/>
          <w:bCs/>
          <w:color w:val="auto"/>
          <w:sz w:val="30"/>
          <w:szCs w:val="30"/>
          <w:lang w:eastAsia="zh-CN"/>
        </w:rPr>
        <w:t>。</w:t>
      </w:r>
    </w:p>
    <w:p>
      <w:pPr>
        <w:adjustRightInd w:val="0"/>
        <w:snapToGrid w:val="0"/>
        <w:spacing w:line="360" w:lineRule="auto"/>
        <w:ind w:firstLine="600" w:firstLineChars="200"/>
        <w:rPr>
          <w:rFonts w:ascii="Times New Roman" w:hAnsi="Times New Roman" w:eastAsia="仿宋_GB2312" w:cs="Times New Roman"/>
          <w:bCs/>
          <w:color w:val="auto"/>
          <w:sz w:val="30"/>
          <w:szCs w:val="30"/>
        </w:rPr>
      </w:pPr>
      <w:r>
        <w:rPr>
          <w:rFonts w:hint="eastAsia" w:ascii="Times New Roman" w:hAnsi="Times New Roman" w:eastAsia="仿宋_GB2312" w:cs="Times New Roman"/>
          <w:bCs/>
          <w:color w:val="auto"/>
          <w:sz w:val="30"/>
          <w:szCs w:val="30"/>
        </w:rPr>
        <w:t>（</w:t>
      </w:r>
      <w:r>
        <w:rPr>
          <w:rFonts w:hint="eastAsia" w:ascii="Times New Roman" w:hAnsi="Times New Roman" w:eastAsia="仿宋_GB2312" w:cs="Times New Roman"/>
          <w:bCs/>
          <w:color w:val="auto"/>
          <w:sz w:val="30"/>
          <w:szCs w:val="30"/>
          <w:lang w:eastAsia="zh-CN"/>
        </w:rPr>
        <w:t>二</w:t>
      </w:r>
      <w:r>
        <w:rPr>
          <w:rFonts w:hint="eastAsia" w:ascii="Times New Roman" w:hAnsi="Times New Roman" w:eastAsia="仿宋_GB2312" w:cs="Times New Roman"/>
          <w:bCs/>
          <w:color w:val="auto"/>
          <w:sz w:val="30"/>
          <w:szCs w:val="30"/>
        </w:rPr>
        <w:t>）《国家外汇管理局行政许可实施办法》（国家外汇管理局公告2021年第1号）全文</w:t>
      </w:r>
      <w:r>
        <w:rPr>
          <w:rFonts w:hint="eastAsia" w:ascii="Times New Roman" w:hAnsi="Times New Roman" w:eastAsia="仿宋_GB2312" w:cs="Times New Roman"/>
          <w:bCs/>
          <w:color w:val="auto"/>
          <w:sz w:val="30"/>
          <w:szCs w:val="30"/>
          <w:lang w:eastAsia="zh-CN"/>
        </w:rPr>
        <w:t>。</w:t>
      </w:r>
    </w:p>
    <w:p>
      <w:pPr>
        <w:adjustRightInd w:val="0"/>
        <w:snapToGrid w:val="0"/>
        <w:spacing w:line="360" w:lineRule="auto"/>
        <w:ind w:firstLine="600" w:firstLineChars="200"/>
        <w:rPr>
          <w:rFonts w:hint="eastAsia" w:ascii="Times New Roman" w:hAnsi="Times New Roman" w:eastAsia="黑体" w:cs="Times New Roman"/>
          <w:color w:val="auto"/>
          <w:sz w:val="30"/>
          <w:szCs w:val="30"/>
          <w:lang w:eastAsia="zh-CN"/>
        </w:rPr>
      </w:pPr>
      <w:r>
        <w:rPr>
          <w:rFonts w:hint="eastAsia" w:ascii="Times New Roman" w:hAnsi="Times New Roman" w:eastAsia="黑体" w:cs="Times New Roman"/>
          <w:color w:val="auto"/>
          <w:sz w:val="30"/>
          <w:szCs w:val="30"/>
          <w:lang w:eastAsia="zh-CN"/>
        </w:rPr>
        <w:t>五、监管依据</w:t>
      </w:r>
    </w:p>
    <w:p>
      <w:pPr>
        <w:adjustRightInd w:val="0"/>
        <w:snapToGrid w:val="0"/>
        <w:spacing w:line="360" w:lineRule="auto"/>
        <w:ind w:firstLine="600" w:firstLineChars="200"/>
        <w:rPr>
          <w:rFonts w:hint="eastAsia" w:ascii="Times New Roman" w:hAnsi="Times New Roman" w:eastAsia="仿宋_GB2312" w:cs="Times New Roman"/>
          <w:bCs/>
          <w:color w:val="auto"/>
          <w:sz w:val="30"/>
          <w:szCs w:val="30"/>
          <w:lang w:eastAsia="zh-CN"/>
        </w:rPr>
      </w:pPr>
      <w:r>
        <w:rPr>
          <w:rFonts w:hint="eastAsia" w:ascii="Times New Roman" w:hAnsi="Times New Roman" w:eastAsia="仿宋_GB2312" w:cs="Times New Roman"/>
          <w:bCs/>
          <w:color w:val="auto"/>
          <w:sz w:val="30"/>
          <w:szCs w:val="30"/>
          <w:lang w:eastAsia="zh-CN"/>
        </w:rPr>
        <w:t>《中华人民共和国外汇管理条例》</w:t>
      </w:r>
      <w:r>
        <w:rPr>
          <w:rFonts w:ascii="Times New Roman" w:hAnsi="Times New Roman" w:eastAsia="仿宋_GB2312" w:cs="Times New Roman"/>
          <w:color w:val="auto"/>
          <w:sz w:val="30"/>
          <w:szCs w:val="30"/>
        </w:rPr>
        <w:t>（国务院令第532号）</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六、</w:t>
      </w:r>
      <w:r>
        <w:rPr>
          <w:rFonts w:ascii="Times New Roman" w:hAnsi="Times New Roman" w:eastAsia="黑体" w:cs="Times New Roman"/>
          <w:color w:val="auto"/>
          <w:sz w:val="30"/>
          <w:szCs w:val="30"/>
        </w:rPr>
        <w:t>受理机构</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仿宋_GB2312" w:cs="Times New Roman"/>
          <w:color w:val="auto"/>
          <w:sz w:val="30"/>
          <w:szCs w:val="30"/>
        </w:rPr>
        <w:t>申请人</w:t>
      </w:r>
      <w:r>
        <w:rPr>
          <w:rFonts w:hint="eastAsia" w:ascii="Times New Roman" w:hAnsi="Times New Roman" w:eastAsia="仿宋_GB2312" w:cs="Times New Roman"/>
          <w:color w:val="auto"/>
          <w:sz w:val="30"/>
          <w:szCs w:val="30"/>
        </w:rPr>
        <w:t>经办</w:t>
      </w:r>
      <w:r>
        <w:rPr>
          <w:rFonts w:ascii="Times New Roman" w:hAnsi="Times New Roman" w:eastAsia="仿宋_GB2312" w:cs="Times New Roman"/>
          <w:color w:val="auto"/>
          <w:sz w:val="30"/>
          <w:szCs w:val="30"/>
        </w:rPr>
        <w:t>银行所在地国家外汇管理局分局。</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七、</w:t>
      </w:r>
      <w:r>
        <w:rPr>
          <w:rFonts w:ascii="Times New Roman" w:hAnsi="Times New Roman" w:eastAsia="黑体" w:cs="Times New Roman"/>
          <w:color w:val="auto"/>
          <w:sz w:val="30"/>
          <w:szCs w:val="30"/>
        </w:rPr>
        <w:t>决定机构</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w:t>
      </w:r>
      <w:r>
        <w:rPr>
          <w:rFonts w:hint="eastAsia" w:ascii="Times New Roman" w:hAnsi="Times New Roman" w:eastAsia="仿宋_GB2312" w:cs="Times New Roman"/>
          <w:color w:val="auto"/>
          <w:sz w:val="30"/>
          <w:szCs w:val="30"/>
        </w:rPr>
        <w:t>经办</w:t>
      </w:r>
      <w:r>
        <w:rPr>
          <w:rFonts w:ascii="Times New Roman" w:hAnsi="Times New Roman" w:eastAsia="仿宋_GB2312" w:cs="Times New Roman"/>
          <w:color w:val="auto"/>
          <w:sz w:val="30"/>
          <w:szCs w:val="30"/>
        </w:rPr>
        <w:t>银行所在地国家外汇管理局分局。</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八、</w:t>
      </w:r>
      <w:r>
        <w:rPr>
          <w:rFonts w:ascii="Times New Roman" w:hAnsi="Times New Roman" w:eastAsia="黑体" w:cs="Times New Roman"/>
          <w:color w:val="auto"/>
          <w:sz w:val="30"/>
          <w:szCs w:val="30"/>
        </w:rPr>
        <w:t>办事条件</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准予行政许可的条件</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支付机构经常项目收支登记新办</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具有相关支付业务合法资质；</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具有开展外汇业务的内部管理制度和相应技术条件；</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具有申请外汇业务的必要性和可行性；</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具有交易真实性、合法性审核能力和风险控制能力；</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5</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至少5名熟悉外汇业务的人员（其中1名为外汇业务负责人）；</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6</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与符合要求的银行合作。</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支付机构经常项目收支登记变更</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 xml:space="preserve">变更业务范围或业务子项、合作银行、业务流程、风控方案、单笔交易金额限额、交易信息采集及验证方案、公司外汇业务负责人。   </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rPr>
        <w:t>支付机构经常项目收支登记注销</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支付机构主动终止外汇业务，且业务处置完毕。</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规定行政许可条件的依据</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经常项目外汇业务指引（2020年版）》（汇发〔2020〕14号文印发）第一百二十二条支付机构申请办理名录登记，应具备下列条件：具有相关支付业务合法资质；具有开展外汇业务的内部管理制度和相应技术条件；申请外汇业务的必要性和可行性；具有交易真实性、合法性审核能力和风险控制能力；至少5名熟悉外汇业务的人员（其中1名为外汇业务负责人）；与符合要求的银行合作。</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经常项目外汇业务指引（2020年版）》（汇发〔2020〕14号文印发）第一百二十六条支付机构变更下列事项之一的，应事前向注册地分局提出登记变更申请，并提供相关说明材料：业务范围或业务子项、合作银行、业务流程、风控方案、单笔交易金额限额（特定交易限额变更理由及相应风险控制措施）、交易信息采集及验证方案、公司外汇业务负责人。注册地分局同意变更的，为支付机构办理登记变更，其有效期与原登记有效期一致。支付机构变更公司名称、实际控制人或法定代表人等公司基本信息，应予变更后30日内向注册地分局报备。注册地分局需评估公司变更情况对持续经营外汇业务能力的影响。</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rPr>
        <w:t>《经常项目外汇业务指引（2020年版）》（汇发〔2020〕14号文印发）第一百二十七条支付机构主动终止外汇业务，应在公司作出终止决定之日起5个工作日内向注册地外汇分局提出注销登记申请及终止外汇业务方案。业务处置完毕后注册地外汇分局注销其登记。</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rPr>
        <w:t>《经常项目外汇业务指引（2020年版）》（汇发〔2020〕14号文印发）第一百二十五条支付机构名录登记的有效期为5年。期满后，支付机构拟继续开展外汇业务的，应在距到期日至少3个月前向注册地分局提出延续登记的申请。继续开展外汇业务应具备办理名录登记的相关条件，并按办理名录登记时的要求提交材料。违反《中华人民共和国行政许可法》相关规定，或行业主管部门终止支付机构支付业务，支付机构名录登记相应失效。</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九、</w:t>
      </w:r>
      <w:r>
        <w:rPr>
          <w:rFonts w:ascii="Times New Roman" w:hAnsi="Times New Roman" w:eastAsia="黑体" w:cs="Times New Roman"/>
          <w:color w:val="auto"/>
          <w:sz w:val="30"/>
          <w:szCs w:val="30"/>
        </w:rPr>
        <w:t>申请材料</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（一）申请材料名称</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支付机构经常项目收支登记新办</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）法定代表人签字并加盖公章的《贸易外汇收支企业名录登记申请表》原件1份。</w:t>
      </w:r>
      <w:r>
        <w:rPr>
          <w:rFonts w:hint="eastAsia" w:ascii="Times New Roman" w:hAnsi="Times New Roman" w:eastAsia="仿宋_GB2312" w:cs="Times New Roman"/>
          <w:color w:val="auto"/>
          <w:sz w:val="30"/>
          <w:szCs w:val="30"/>
          <w:lang w:eastAsia="zh-CN"/>
        </w:rPr>
        <w:tab/>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）加盖公章的《书面申请》原件1份。</w:t>
      </w:r>
      <w:r>
        <w:rPr>
          <w:rFonts w:hint="eastAsia" w:ascii="Times New Roman" w:hAnsi="Times New Roman" w:eastAsia="仿宋_GB2312" w:cs="Times New Roman"/>
          <w:color w:val="auto"/>
          <w:sz w:val="30"/>
          <w:szCs w:val="30"/>
          <w:lang w:eastAsia="zh-CN"/>
        </w:rPr>
        <w:tab/>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）加盖公章的行业主管部门颁发的开展支付业务资质证明文件复印件1份。</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lang w:eastAsia="zh-CN"/>
        </w:rPr>
        <w:t>）营业执照（统一社会信用代码证）原件或加盖公章的复印件1份（验原件，留存复印件）。</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5</w:t>
      </w:r>
      <w:r>
        <w:rPr>
          <w:rFonts w:hint="eastAsia" w:ascii="Times New Roman" w:hAnsi="Times New Roman" w:eastAsia="仿宋_GB2312" w:cs="Times New Roman"/>
          <w:color w:val="auto"/>
          <w:sz w:val="30"/>
          <w:szCs w:val="30"/>
          <w:lang w:eastAsia="zh-CN"/>
        </w:rPr>
        <w:t>）加盖公章的法定代表人有效身份证件复印件1份。</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6</w:t>
      </w:r>
      <w:r>
        <w:rPr>
          <w:rFonts w:hint="eastAsia" w:ascii="Times New Roman" w:hAnsi="Times New Roman" w:eastAsia="仿宋_GB2312" w:cs="Times New Roman"/>
          <w:color w:val="auto"/>
          <w:sz w:val="30"/>
          <w:szCs w:val="30"/>
          <w:lang w:eastAsia="zh-CN"/>
        </w:rPr>
        <w:t>）加盖公章的与银行的合作协议复印件1份；内容包括但不限于双方责任与义务，汇率报价规则，服务费收取方式，利息计算方式与归属，纠纷处理流程，合作银行对支付机构外汇业务合规审核能力、风险管理能力以及相关技术条件的评估认可情况等。</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7</w:t>
      </w:r>
      <w:r>
        <w:rPr>
          <w:rFonts w:hint="eastAsia" w:ascii="Times New Roman" w:hAnsi="Times New Roman" w:eastAsia="仿宋_GB2312" w:cs="Times New Roman"/>
          <w:color w:val="auto"/>
          <w:sz w:val="30"/>
          <w:szCs w:val="30"/>
          <w:lang w:eastAsia="zh-CN"/>
        </w:rPr>
        <w:t>）加盖公章的外汇业务人员履历及其外汇业务能力核实情况复印件1份。</w:t>
      </w:r>
      <w:r>
        <w:rPr>
          <w:rFonts w:hint="eastAsia" w:ascii="Times New Roman" w:hAnsi="Times New Roman" w:eastAsia="仿宋_GB2312" w:cs="Times New Roman"/>
          <w:color w:val="auto"/>
          <w:sz w:val="30"/>
          <w:szCs w:val="30"/>
          <w:lang w:eastAsia="zh-CN"/>
        </w:rPr>
        <w:tab/>
      </w:r>
      <w:r>
        <w:rPr>
          <w:rFonts w:hint="eastAsia" w:ascii="Times New Roman" w:hAnsi="Times New Roman" w:eastAsia="仿宋_GB2312" w:cs="Times New Roman"/>
          <w:color w:val="auto"/>
          <w:sz w:val="30"/>
          <w:szCs w:val="30"/>
          <w:lang w:eastAsia="zh-CN"/>
        </w:rPr>
        <w:tab/>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8</w:t>
      </w:r>
      <w:r>
        <w:rPr>
          <w:rFonts w:hint="eastAsia" w:ascii="Times New Roman" w:hAnsi="Times New Roman" w:eastAsia="仿宋_GB2312" w:cs="Times New Roman"/>
          <w:color w:val="auto"/>
          <w:sz w:val="30"/>
          <w:szCs w:val="30"/>
          <w:lang w:eastAsia="zh-CN"/>
        </w:rPr>
        <w:t>）加盖公章的承诺函原件1份。</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支付机构经常项目收支登记变更</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变更书面申请原件及相应变更文件或证明各1份（变更文件或证明可验原件，留复印件，复印件均需加盖公章）。其中，“相应变更文件或证明”应可证明业务范围或业务子项、合作银行、业务流程、风控模型、单笔交易限额（特定交易限额变更理由及相应风险控制措施）、交易信息采集及验证方案、公司外汇业务负责人等发生变更。</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支付机构经常项目收支登记注销</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）加盖公章的注销登记申请原件1份，内容包括但不限于注销理由，如被市场监管部门注销或吊销营业执照（统一社会信用代码证），被行业主管部门终止支付业务。</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）终止外汇业务方案复印件1份（需加盖公章）。</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（二）规定申请材料的依据</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经常项目外汇业务指引（2020年版）》（汇发〔2020〕14号文印发）第一百二十四条支付机构申请办理名录登记，应向注册地外汇分局提交下列申请材料：书面申请，包括但不限于公司基本情况（如治理结构、机构设置等）、合作银行情况、申请外汇业务范围及可行性研究报告、与主要客户的合作意向协议、业务流程、信息采集及真实性审核方案、抽查机制、风控制度模型及系统情况等；行业主管部门颁发的开展支付机构业务资质证明文件复印件、营业执照（统一社会信用代码证）（副本）复印件、法定代表人有效身份证件复印件等；与银行的合作协议（包括但不限于双方责任与义务，汇率报价规则，服务费收取方式，利息计算方式与归属，纠纷处理流程，合作银行对支付机构外汇业务合规审核能力、风险管理能力以及相关技术条件的评估认可情况等）；外汇业务人员履历及其外汇业务能力核实情况；承诺函，包括但不限于承诺申请材料真实可信、按时履行报告义务、积极配合外汇局监督管理等。如有其他有助于说明合规、风控能力的材料，也可提供。</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经常项目外汇业务指引（2020年版）》（汇发〔2020〕14号文印发）第一百二十六条支付机构变更下列事项之一的，应事前向注册地分局提出登记变更申请，并提供相关说明材料：业务范围或业务子项、合作银行、业务流程、风控方案、单笔交易金额限额（特定交易限额变更理由及相应风险控制措施）、交易信息采集及验证方案、公司外汇业务负责人。注册地分局同意变更的，为支付机构办理登记变更，其有效期与原登记有效期一致。支付机构变更公司名称、实际控制人或法定代表人等公司基本信息，应予变更后30日内向注册地分局报备。注册地分局需评估公司变更情况对持续经营外汇业务能力的影响。</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经常项目外汇业务指引（2020年版）》（汇发〔2020〕14号文印发）第一百二十七条支付机构主动终止外汇业务，应在公司作出终止决定之日起5个工作日内向注册地外汇分局提出注销登记申请及终止外汇业务方案。业务处置完毕后，注册地外汇分局注销其登记。</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w:t>
      </w:r>
      <w:r>
        <w:rPr>
          <w:rFonts w:ascii="Times New Roman" w:hAnsi="Times New Roman" w:eastAsia="黑体" w:cs="Times New Roman"/>
          <w:color w:val="auto"/>
          <w:sz w:val="30"/>
          <w:szCs w:val="30"/>
        </w:rPr>
        <w:t>申请接受</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申请人可通过国家外汇管理局分局提交</w:t>
      </w:r>
      <w:r>
        <w:rPr>
          <w:rFonts w:hint="eastAsia" w:ascii="Times New Roman" w:hAnsi="Times New Roman" w:eastAsia="仿宋_GB2312" w:cs="Times New Roman"/>
          <w:color w:val="auto"/>
          <w:sz w:val="30"/>
          <w:szCs w:val="30"/>
          <w:lang w:eastAsia="zh-CN"/>
        </w:rPr>
        <w:t>申请</w:t>
      </w:r>
      <w:r>
        <w:rPr>
          <w:rFonts w:ascii="Times New Roman" w:hAnsi="Times New Roman" w:eastAsia="仿宋_GB2312" w:cs="Times New Roman"/>
          <w:color w:val="auto"/>
          <w:sz w:val="30"/>
          <w:szCs w:val="30"/>
        </w:rPr>
        <w:t>材料。</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十一、</w:t>
      </w:r>
      <w:r>
        <w:rPr>
          <w:rFonts w:ascii="Times New Roman" w:hAnsi="Times New Roman" w:eastAsia="黑体" w:cs="Times New Roman"/>
          <w:color w:val="auto"/>
          <w:sz w:val="30"/>
          <w:szCs w:val="30"/>
        </w:rPr>
        <w:t>基本办理流程</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（一）办理行政许可的程序环节</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申请人申请；</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审批机构受理/不予受理；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审批机构审查；</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lang w:eastAsia="zh-CN"/>
        </w:rPr>
        <w:t>决定作出许可决定书/不予许可决定书。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（二）规定行政许可程序的依据</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《国家外汇管理局行政许可实施办法》（国家外汇管理局公告2021年第1号）第十条外汇局收到行政许可申请后，应区分下列情况分别作出处理：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申请事项属于本局职责范围，但依法不需要取得行政许可的，应即时告知申请人不受理，出具不予受理行政许可通知书；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申请事项不属于本局职责范围，应即时作出不予受理的决定，出具不予受理行政许可通知书，并告知申请人向有关行政机关申请；</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申请人拒不补正，或者自补正告知书送达之日起30日内未能提交全部且符合法定形式的补正材料的，应不予受理，出具不予受理行政许可通知书；申请材料存在文字笔误等可当场更正的错误的，应允许申请人当场更正，并告知其在修改处签字或盖章确认；</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lang w:eastAsia="zh-CN"/>
        </w:rPr>
        <w:t>申请事项属于本局职责范围，申请材料齐全、符合法定形式，或者申请人按照要求提交全部补正申请材料的，应受理行政许可申请，出具行政许可受理通知书。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《国家外汇管理局行政许可实施办法》（国家外汇管理局公告2021年第1号）第十四条外汇局对行政许可申请审查后，应区分下列情况分别作出处理：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申请符合法定条件、拟准予行政许可的，应出具准予行政许可的书面决定。准予行政许可的书面决定应载明名称、出具单位、被许可人姓名或名称、行政许可事项、颁发日期、有效期（如有）等；</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申请不符合法定条件、拟不予行政许可的，应出具不予行政许可决定书，并说明不予行政许可的理由，告知申请人享有依法申请行政复议的权利。</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十二、</w:t>
      </w:r>
      <w:r>
        <w:rPr>
          <w:rFonts w:ascii="Times New Roman" w:hAnsi="Times New Roman" w:eastAsia="黑体" w:cs="Times New Roman"/>
          <w:color w:val="auto"/>
          <w:sz w:val="30"/>
          <w:szCs w:val="30"/>
        </w:rPr>
        <w:t>办理方式</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当场办理：申请、受理、审查、决定、出具</w:t>
      </w:r>
      <w:r>
        <w:rPr>
          <w:rFonts w:hint="eastAsia" w:ascii="Times New Roman" w:hAnsi="Times New Roman" w:eastAsia="仿宋_GB2312" w:cs="Times New Roman"/>
          <w:color w:val="auto"/>
          <w:sz w:val="30"/>
          <w:szCs w:val="30"/>
          <w:lang w:eastAsia="zh-CN"/>
        </w:rPr>
        <w:t>行政许可决定书</w:t>
      </w:r>
      <w:r>
        <w:rPr>
          <w:rFonts w:ascii="Times New Roman" w:hAnsi="Times New Roman" w:eastAsia="仿宋_GB2312" w:cs="Times New Roman"/>
          <w:color w:val="auto"/>
          <w:sz w:val="30"/>
          <w:szCs w:val="30"/>
        </w:rPr>
        <w:t>或不予</w:t>
      </w:r>
      <w:r>
        <w:rPr>
          <w:rFonts w:hint="eastAsia" w:ascii="Times New Roman" w:hAnsi="Times New Roman" w:eastAsia="仿宋_GB2312" w:cs="Times New Roman"/>
          <w:color w:val="auto"/>
          <w:sz w:val="30"/>
          <w:szCs w:val="30"/>
        </w:rPr>
        <w:t>核</w:t>
      </w:r>
      <w:r>
        <w:rPr>
          <w:rFonts w:ascii="Times New Roman" w:hAnsi="Times New Roman" w:eastAsia="仿宋_GB2312" w:cs="Times New Roman"/>
          <w:color w:val="auto"/>
          <w:sz w:val="30"/>
          <w:szCs w:val="30"/>
        </w:rPr>
        <w:t>准的行政许可书面决定。</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三、</w:t>
      </w:r>
      <w:r>
        <w:rPr>
          <w:rFonts w:ascii="Times New Roman" w:hAnsi="Times New Roman" w:eastAsia="黑体" w:cs="Times New Roman"/>
          <w:color w:val="auto"/>
          <w:sz w:val="30"/>
          <w:szCs w:val="30"/>
        </w:rPr>
        <w:t>审批时限</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承诺受理时限：5个工作日</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法定审批时限：20个工作日</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规定法定审批时限依据</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《国家外汇管理局行政许可实施办法》（国家外汇管理局公告2021年第1号）第十五条外汇局应根据以下要求确保行政许可依法按时完成：</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能当场作出决定的，应当场作出行政许可决定。当场作出行政许可决定的，可不出具行政许可受理通知书；</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外汇局征求其他部门意见的时间计算在以上办理时限内；依法需要听证、检验、检测、鉴定、专家评审等的时间，不计算在上述办理时限内。</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（四）</w:t>
      </w:r>
      <w:r>
        <w:rPr>
          <w:rFonts w:hint="eastAsia" w:ascii="Times New Roman" w:hAnsi="Times New Roman" w:eastAsia="仿宋_GB2312" w:cs="Times New Roman"/>
          <w:color w:val="auto"/>
          <w:sz w:val="30"/>
          <w:szCs w:val="30"/>
        </w:rPr>
        <w:t>承诺审批时限：20个工作日</w:t>
      </w:r>
      <w:r>
        <w:rPr>
          <w:rFonts w:ascii="Times New Roman" w:hAnsi="Times New Roman" w:eastAsia="仿宋_GB2312" w:cs="Times New Roman"/>
          <w:color w:val="auto"/>
          <w:sz w:val="30"/>
          <w:szCs w:val="30"/>
        </w:rPr>
        <w:t>。</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四、</w:t>
      </w:r>
      <w:r>
        <w:rPr>
          <w:rFonts w:ascii="Times New Roman" w:hAnsi="Times New Roman" w:eastAsia="黑体" w:cs="Times New Roman"/>
          <w:color w:val="auto"/>
          <w:sz w:val="30"/>
          <w:szCs w:val="30"/>
        </w:rPr>
        <w:t>审批收费依据及标准</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不收费。</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五、</w:t>
      </w:r>
      <w:r>
        <w:rPr>
          <w:rFonts w:ascii="Times New Roman" w:hAnsi="Times New Roman" w:eastAsia="黑体" w:cs="Times New Roman"/>
          <w:color w:val="auto"/>
          <w:sz w:val="30"/>
          <w:szCs w:val="30"/>
        </w:rPr>
        <w:t>审批结果</w:t>
      </w:r>
    </w:p>
    <w:p>
      <w:pPr>
        <w:adjustRightInd w:val="0"/>
        <w:snapToGrid w:val="0"/>
        <w:spacing w:line="360" w:lineRule="auto"/>
        <w:ind w:firstLine="6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行政许可决定书</w:t>
      </w:r>
      <w:r>
        <w:rPr>
          <w:rFonts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rPr>
        <w:t>《经常项目外汇业务指引（2020年版）》（汇发〔2020〕14号文印发）第一百二十五条支付机构名录登记的有效期为5年。期满后，支付机构拟继续开展外汇业务的，应在距到期日至少3个月前向注册地外汇分局提出延续登记的申请。继续开展外汇业务应具备办理名录登记的相关条件，并按办理名录登记时的要求提交材料。</w:t>
      </w:r>
    </w:p>
    <w:p>
      <w:pPr>
        <w:adjustRightInd w:val="0"/>
        <w:snapToGrid w:val="0"/>
        <w:spacing w:line="360" w:lineRule="auto"/>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六、</w:t>
      </w:r>
      <w:r>
        <w:rPr>
          <w:rFonts w:ascii="Times New Roman" w:hAnsi="Times New Roman" w:eastAsia="黑体" w:cs="Times New Roman"/>
          <w:color w:val="auto"/>
          <w:sz w:val="30"/>
          <w:szCs w:val="30"/>
        </w:rPr>
        <w:t>结果送达</w:t>
      </w:r>
    </w:p>
    <w:p>
      <w:pPr>
        <w:adjustRightInd w:val="0"/>
        <w:snapToGrid w:val="0"/>
        <w:spacing w:line="360" w:lineRule="auto"/>
        <w:ind w:firstLine="6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通过现场领取或邮寄等方式将结果送达</w:t>
      </w:r>
      <w:r>
        <w:rPr>
          <w:rFonts w:ascii="Times New Roman" w:hAnsi="Times New Roman" w:eastAsia="仿宋_GB2312" w:cs="Times New Roman"/>
          <w:color w:val="auto"/>
          <w:sz w:val="30"/>
          <w:szCs w:val="30"/>
        </w:rPr>
        <w:t>。</w:t>
      </w:r>
    </w:p>
    <w:p>
      <w:pPr>
        <w:adjustRightInd w:val="0"/>
        <w:snapToGrid w:val="0"/>
        <w:spacing w:line="360" w:lineRule="auto"/>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七、</w:t>
      </w:r>
      <w:r>
        <w:rPr>
          <w:rFonts w:ascii="Times New Roman" w:hAnsi="Times New Roman" w:eastAsia="黑体" w:cs="Times New Roman"/>
          <w:color w:val="auto"/>
          <w:sz w:val="30"/>
          <w:szCs w:val="30"/>
        </w:rPr>
        <w:t>申请人权利和义务</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八、</w:t>
      </w:r>
      <w:r>
        <w:rPr>
          <w:rFonts w:ascii="Times New Roman" w:hAnsi="Times New Roman" w:eastAsia="黑体" w:cs="Times New Roman"/>
          <w:color w:val="auto"/>
          <w:sz w:val="30"/>
          <w:szCs w:val="30"/>
        </w:rPr>
        <w:t>咨询途径、监督和投诉、公开查询等由所在地分局办理</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国家外汇管理局广西壮族自治区分局：</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（一）咨询途径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现场咨询：广西南宁市青秀区滨湖路58号中国人民银行广西壮族自治区分行七楼704室。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电话咨询：0771-6111312</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eastAsia="zh-CN"/>
        </w:rPr>
      </w:pPr>
      <w:r>
        <w:rPr>
          <w:rFonts w:hint="eastAsia" w:ascii="Times New Roman" w:hAnsi="Times New Roman" w:eastAsia="仿宋_GB2312" w:cs="Times New Roman"/>
          <w:b w:val="0"/>
          <w:bCs w:val="0"/>
          <w:color w:val="auto"/>
          <w:sz w:val="30"/>
          <w:szCs w:val="30"/>
          <w:lang w:val="en-US" w:eastAsia="zh-CN"/>
        </w:rPr>
        <w:t>网站咨询：</w:t>
      </w:r>
      <w:r>
        <w:rPr>
          <w:rFonts w:hint="eastAsia" w:ascii="Times New Roman" w:hAnsi="Times New Roman" w:eastAsia="仿宋_GB2312" w:cs="Times New Roman"/>
          <w:b w:val="0"/>
          <w:bCs w:val="0"/>
          <w:color w:val="auto"/>
          <w:sz w:val="30"/>
          <w:szCs w:val="30"/>
          <w:lang w:eastAsia="zh-CN"/>
        </w:rPr>
        <w:t>国家外汇管理局广西壮族自治区分局官方网站（www.safe.gov.cn</w:t>
      </w:r>
      <w:r>
        <w:rPr>
          <w:rFonts w:hint="eastAsia" w:ascii="Times New Roman" w:hAnsi="Times New Roman" w:eastAsia="仿宋_GB2312" w:cs="Times New Roman"/>
          <w:b w:val="0"/>
          <w:bCs w:val="0"/>
          <w:color w:val="auto"/>
          <w:sz w:val="30"/>
          <w:szCs w:val="30"/>
          <w:lang w:val="en-US" w:eastAsia="zh-CN"/>
        </w:rPr>
        <w:t>/guangxi/）</w:t>
      </w:r>
      <w:r>
        <w:rPr>
          <w:rFonts w:hint="eastAsia" w:ascii="Times New Roman" w:hAnsi="Times New Roman" w:eastAsia="仿宋_GB2312" w:cs="Times New Roman"/>
          <w:b w:val="0"/>
          <w:bCs w:val="0"/>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（二）监督和投诉途径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eastAsia="zh-CN"/>
        </w:rPr>
      </w:pPr>
      <w:r>
        <w:rPr>
          <w:rFonts w:hint="eastAsia" w:ascii="Times New Roman" w:hAnsi="Times New Roman" w:eastAsia="仿宋_GB2312" w:cs="Times New Roman"/>
          <w:b w:val="0"/>
          <w:bCs w:val="0"/>
          <w:color w:val="auto"/>
          <w:sz w:val="30"/>
          <w:szCs w:val="30"/>
          <w:lang w:val="en-US" w:eastAsia="zh-CN"/>
        </w:rPr>
        <w:t>网站投诉：</w:t>
      </w:r>
      <w:r>
        <w:rPr>
          <w:rFonts w:hint="eastAsia" w:ascii="Times New Roman" w:hAnsi="Times New Roman" w:eastAsia="仿宋_GB2312" w:cs="Times New Roman"/>
          <w:b w:val="0"/>
          <w:bCs w:val="0"/>
          <w:color w:val="auto"/>
          <w:sz w:val="30"/>
          <w:szCs w:val="30"/>
          <w:lang w:eastAsia="zh-CN"/>
        </w:rPr>
        <w:t>国家外汇管理局广西壮族自治区分局官方网站（www.safe.gov.cn</w:t>
      </w:r>
      <w:r>
        <w:rPr>
          <w:rFonts w:hint="eastAsia" w:ascii="Times New Roman" w:hAnsi="Times New Roman" w:eastAsia="仿宋_GB2312" w:cs="Times New Roman"/>
          <w:b w:val="0"/>
          <w:bCs w:val="0"/>
          <w:color w:val="auto"/>
          <w:sz w:val="30"/>
          <w:szCs w:val="30"/>
          <w:lang w:val="en-US" w:eastAsia="zh-CN"/>
        </w:rPr>
        <w:t>/guangxi/）</w:t>
      </w:r>
      <w:r>
        <w:rPr>
          <w:rFonts w:hint="eastAsia" w:ascii="Times New Roman" w:hAnsi="Times New Roman" w:eastAsia="仿宋_GB2312" w:cs="Times New Roman"/>
          <w:b w:val="0"/>
          <w:bCs w:val="0"/>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（三）</w:t>
      </w:r>
      <w:r>
        <w:rPr>
          <w:rFonts w:hint="eastAsia" w:ascii="Times New Roman" w:hAnsi="Times New Roman" w:eastAsia="仿宋_GB2312" w:cs="Times New Roman"/>
          <w:b w:val="0"/>
          <w:bCs w:val="0"/>
          <w:color w:val="auto"/>
          <w:sz w:val="30"/>
          <w:szCs w:val="30"/>
          <w:lang w:eastAsia="zh-CN"/>
        </w:rPr>
        <w:t>公开</w:t>
      </w:r>
      <w:r>
        <w:rPr>
          <w:rFonts w:hint="eastAsia" w:ascii="Times New Roman" w:hAnsi="Times New Roman" w:eastAsia="仿宋_GB2312" w:cs="Times New Roman"/>
          <w:b w:val="0"/>
          <w:bCs w:val="0"/>
          <w:color w:val="auto"/>
          <w:sz w:val="30"/>
          <w:szCs w:val="30"/>
        </w:rPr>
        <w:t>查询</w:t>
      </w:r>
      <w:r>
        <w:rPr>
          <w:rFonts w:hint="eastAsia" w:ascii="Times New Roman" w:hAnsi="Times New Roman" w:eastAsia="仿宋_GB2312" w:cs="Times New Roman"/>
          <w:b w:val="0"/>
          <w:bCs w:val="0"/>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现场查询：广西南宁市青秀区滨湖路58号中国人民银行广西壮族自治区分行七楼704室。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电话查询：0771-6111312</w:t>
      </w:r>
    </w:p>
    <w:p>
      <w:pPr>
        <w:adjustRightInd w:val="0"/>
        <w:snapToGrid w:val="0"/>
        <w:spacing w:line="360" w:lineRule="auto"/>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九、</w:t>
      </w:r>
      <w:r>
        <w:rPr>
          <w:rFonts w:ascii="Times New Roman" w:hAnsi="Times New Roman" w:eastAsia="黑体" w:cs="Times New Roman"/>
          <w:color w:val="auto"/>
          <w:sz w:val="30"/>
          <w:szCs w:val="30"/>
        </w:rPr>
        <w:t>事项审查类型</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前审后批。</w:t>
      </w:r>
    </w:p>
    <w:p>
      <w:pPr>
        <w:adjustRightInd w:val="0"/>
        <w:snapToGrid w:val="0"/>
        <w:spacing w:line="360" w:lineRule="auto"/>
        <w:ind w:firstLine="6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w:t>
      </w: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w:t>
      </w:r>
      <w:r>
        <w:rPr>
          <w:rFonts w:ascii="Times New Roman" w:hAnsi="Times New Roman" w:eastAsia="黑体" w:cs="Times New Roman"/>
          <w:color w:val="auto"/>
          <w:sz w:val="30"/>
          <w:szCs w:val="30"/>
        </w:rPr>
        <w:t>办公地址和时间</w:t>
      </w:r>
    </w:p>
    <w:p>
      <w:pPr>
        <w:adjustRightInd w:val="0"/>
        <w:snapToGrid w:val="0"/>
        <w:spacing w:line="360" w:lineRule="auto"/>
        <w:ind w:firstLine="600" w:firstLineChars="200"/>
        <w:rPr>
          <w:rFonts w:hint="eastAsia" w:ascii="仿宋_GB2312" w:hAnsi="Times New Roman" w:eastAsia="仿宋_GB2312"/>
          <w:b w:val="0"/>
          <w:bCs w:val="0"/>
          <w:color w:val="auto"/>
          <w:sz w:val="30"/>
          <w:szCs w:val="30"/>
        </w:rPr>
      </w:pPr>
      <w:r>
        <w:rPr>
          <w:rFonts w:hint="eastAsia" w:ascii="仿宋_GB2312" w:hAnsi="Times New Roman" w:eastAsia="仿宋_GB2312"/>
          <w:b w:val="0"/>
          <w:bCs w:val="0"/>
          <w:color w:val="auto"/>
          <w:sz w:val="30"/>
          <w:szCs w:val="30"/>
          <w:lang w:eastAsia="zh-CN"/>
        </w:rPr>
        <w:t>办公</w:t>
      </w:r>
      <w:r>
        <w:rPr>
          <w:rFonts w:hint="eastAsia" w:ascii="仿宋_GB2312" w:hAnsi="Times New Roman" w:eastAsia="仿宋_GB2312"/>
          <w:b w:val="0"/>
          <w:bCs w:val="0"/>
          <w:color w:val="auto"/>
          <w:sz w:val="30"/>
          <w:szCs w:val="30"/>
        </w:rPr>
        <w:t>地址：广西南宁市青秀区滨湖路58号</w:t>
      </w:r>
      <w:r>
        <w:rPr>
          <w:rFonts w:hint="eastAsia" w:ascii="仿宋_GB2312" w:hAnsi="Times New Roman" w:eastAsia="仿宋_GB2312"/>
          <w:b w:val="0"/>
          <w:bCs w:val="0"/>
          <w:color w:val="auto"/>
          <w:sz w:val="30"/>
          <w:szCs w:val="30"/>
          <w:lang w:eastAsia="zh-CN"/>
        </w:rPr>
        <w:t>中国人民银行广西壮族自治区分行</w:t>
      </w:r>
      <w:bookmarkStart w:id="0" w:name="_GoBack"/>
      <w:bookmarkEnd w:id="0"/>
      <w:r>
        <w:rPr>
          <w:rFonts w:hint="eastAsia" w:ascii="仿宋_GB2312" w:hAnsi="Times New Roman" w:eastAsia="仿宋_GB2312"/>
          <w:b w:val="0"/>
          <w:bCs w:val="0"/>
          <w:color w:val="auto"/>
          <w:sz w:val="30"/>
          <w:szCs w:val="30"/>
          <w:lang w:eastAsia="zh-CN"/>
        </w:rPr>
        <w:t>七楼704室</w:t>
      </w:r>
      <w:r>
        <w:rPr>
          <w:rFonts w:hint="eastAsia" w:ascii="仿宋_GB2312" w:hAnsi="Times New Roman" w:eastAsia="仿宋_GB2312"/>
          <w:b w:val="0"/>
          <w:bCs w:val="0"/>
          <w:color w:val="auto"/>
          <w:sz w:val="30"/>
          <w:szCs w:val="30"/>
        </w:rPr>
        <w:t>。</w:t>
      </w:r>
    </w:p>
    <w:p>
      <w:pPr>
        <w:adjustRightInd w:val="0"/>
        <w:snapToGrid w:val="0"/>
        <w:spacing w:line="360" w:lineRule="auto"/>
        <w:ind w:firstLine="600" w:firstLineChars="200"/>
        <w:rPr>
          <w:rFonts w:hint="eastAsia" w:ascii="仿宋_GB2312" w:hAnsi="Times New Roman" w:eastAsia="仿宋_GB2312"/>
          <w:b w:val="0"/>
          <w:bCs w:val="0"/>
          <w:color w:val="auto"/>
          <w:sz w:val="30"/>
          <w:szCs w:val="30"/>
        </w:rPr>
      </w:pPr>
      <w:r>
        <w:rPr>
          <w:rFonts w:hint="eastAsia" w:ascii="仿宋_GB2312" w:hAnsi="Times New Roman" w:eastAsia="仿宋_GB2312"/>
          <w:b w:val="0"/>
          <w:bCs w:val="0"/>
          <w:color w:val="auto"/>
          <w:sz w:val="30"/>
          <w:szCs w:val="30"/>
          <w:lang w:eastAsia="zh-CN"/>
        </w:rPr>
        <w:t>办公</w:t>
      </w:r>
      <w:r>
        <w:rPr>
          <w:rFonts w:hint="eastAsia" w:ascii="仿宋_GB2312" w:hAnsi="Times New Roman" w:eastAsia="仿宋_GB2312"/>
          <w:b w:val="0"/>
          <w:bCs w:val="0"/>
          <w:color w:val="auto"/>
          <w:sz w:val="30"/>
          <w:szCs w:val="30"/>
        </w:rPr>
        <w:t xml:space="preserve">时间：工作日，上午：08:30-12:00，下午：02:30-05:30。 </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                                  </w:t>
      </w: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pPr>
    </w:p>
    <w:p>
      <w:pPr>
        <w:widowControl/>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br w:type="page"/>
      </w:r>
      <w:r>
        <w:rPr>
          <w:rFonts w:ascii="Times New Roman" w:hAnsi="Times New Roman" w:eastAsia="仿宋_GB2312" w:cs="Times New Roman"/>
          <w:color w:val="auto"/>
          <w:sz w:val="30"/>
          <w:szCs w:val="30"/>
        </w:rPr>
        <w:t>附录</w:t>
      </w:r>
    </w:p>
    <w:p>
      <w:pPr>
        <w:ind w:right="300"/>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基本流程图</w:t>
      </w:r>
    </w:p>
    <w:p>
      <w:pPr>
        <w:adjustRightInd w:val="0"/>
        <w:snapToGrid w:val="0"/>
        <w:spacing w:line="360" w:lineRule="auto"/>
        <w:rPr>
          <w:rFonts w:ascii="Times New Roman" w:hAnsi="Times New Roman" w:cs="Times New Roman"/>
          <w:color w:val="auto"/>
        </w:rPr>
      </w:pPr>
      <w:r>
        <w:rPr>
          <w:rFonts w:ascii="Times New Roman" w:hAnsi="Times New Roman" w:eastAsia="宋体" w:cs="Times New Roman"/>
          <w:color w:val="auto"/>
          <w:kern w:val="2"/>
          <w:sz w:val="21"/>
          <w:szCs w:val="22"/>
          <w:lang w:val="en-US" w:eastAsia="zh-CN" w:bidi="ar-SA"/>
        </w:rPr>
        <w:pict>
          <v:group id="Group 14" o:spid="_x0000_s1026" o:spt="203" style="position:absolute;left:0pt;margin-left:-21.85pt;margin-top:10.45pt;height:226.15pt;width:453.05pt;z-index:251659264;mso-width-relative:page;mso-height-relative:page;" coordorigin="1363,2897" coordsize="9061,4523">
            <o:lock v:ext="edit" position="f" selection="f" grouping="f" rotation="f" cropping="f" text="f" aspectratio="f"/>
            <v:shape id="AutoShape 211" o:spid="_x0000_s1027" o:spt="116" type="#_x0000_t116" style="position:absolute;left:1943;top:2897;height:1172;width:1724;"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申请人提交申请材料</w:t>
                    </w:r>
                  </w:p>
                </w:txbxContent>
              </v:textbox>
            </v:shape>
            <v:roundrect id="AutoShape 213" o:spid="_x0000_s1028" o:spt="2" style="position:absolute;left:7495;top:3918;height:674;width:2929;" fillcolor="#FFFFFF" filled="t" o:preferrelative="t" stroked="t" coordsize="21600,21600" arcsize="0.166666666666667">
              <v:path/>
              <v:fill on="t" focussize="0,0"/>
              <v:stroke color="#000000" color2="#FFFFFF" miterlimit="2"/>
              <v:imagedata gain="65536f" blacklevel="0f" gamma="0" o:title=""/>
              <o:lock v:ext="edit" position="f" selection="f" grouping="f" rotation="f" cropping="f" text="f" aspectratio="f"/>
              <v:textbox>
                <w:txbxContent>
                  <w:p>
                    <w:r>
                      <w:rPr>
                        <w:rFonts w:hint="eastAsia"/>
                      </w:rPr>
                      <w:t>申请人补全材料</w:t>
                    </w:r>
                  </w:p>
                </w:txbxContent>
              </v:textbox>
            </v:roundrect>
            <v:roundrect id="AutoShape 214" o:spid="_x0000_s1029" o:spt="2" style="position:absolute;left:4839;top:5537;height:871;width:5362;" fillcolor="#FFFFFF" filled="t" o:preferrelative="t" stroked="t" coordsize="21600,21600" arcsize="0.166666666666667">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材料不全或不符合其他法定形式的，一次性告知补正材料，并依法出具《行政许可补正通知书》或其他文书</w:t>
                    </w:r>
                  </w:p>
                </w:txbxContent>
              </v:textbox>
            </v:roundrect>
            <v:roundrect id="AutoShape 215" o:spid="_x0000_s1030" o:spt="2" style="position:absolute;left:4839;top:6684;height:630;width:5362;" fillcolor="#FFFFFF" filled="t" o:preferrelative="t" stroked="t" coordsize="21600,21600" arcsize="0.166666666666667">
              <v:path/>
              <v:fill on="t" focussize="0,0"/>
              <v:stroke color="#000000" color2="#FFFFFF" miterlimit="2"/>
              <v:imagedata gain="65536f" blacklevel="0f" gamma="0" o:title=""/>
              <o:lock v:ext="edit" position="f" selection="f" grouping="f" rotation="f" cropping="f" text="f" aspectratio="f"/>
              <v:textbox>
                <w:txbxContent>
                  <w:p>
                    <w:r>
                      <w:rPr>
                        <w:rFonts w:hint="eastAsia"/>
                      </w:rPr>
                      <w:t>材料齐全予以</w:t>
                    </w:r>
                    <w:r>
                      <w:rPr>
                        <w:rFonts w:hint="eastAsia"/>
                        <w:lang w:eastAsia="zh-CN"/>
                      </w:rPr>
                      <w:t>受理</w:t>
                    </w:r>
                  </w:p>
                  <w:p/>
                </w:txbxContent>
              </v:textbox>
            </v:roundrect>
            <v:shape id="AutoShape 216" o:spid="_x0000_s1031" o:spt="32" type="#_x0000_t32" style="position:absolute;left:2835;top:4069;height:1468;width:17;"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17" o:spid="_x0000_s1032" o:spt="32" type="#_x0000_t32" style="position:absolute;left:3667;top:6084;height:0;width:1172;"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18" o:spid="_x0000_s1033" o:spt="32" type="#_x0000_t32" style="position:absolute;left:3667;top:6894;height:0;width:1172;"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19" o:spid="_x0000_s1034" o:spt="32" type="#_x0000_t32" style="position:absolute;left:8707;top:4642;flip:y;height:895;width:1;"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20" o:spid="_x0000_s1035" o:spt="32" type="#_x0000_t32" style="position:absolute;left:2852;top:4275;flip:x;height:1;width:4643;"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633" o:spid="_x0000_s1036" o:spt="110" type="#_x0000_t110" style="position:absolute;left:1363;top:5537;height:1883;width:291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adjustRightInd w:val="0"/>
                      <w:snapToGrid w:val="0"/>
                    </w:pPr>
                    <w:r>
                      <w:rPr>
                        <w:rFonts w:hint="eastAsia"/>
                      </w:rPr>
                      <w:t>分支局受理、审查、审核</w:t>
                    </w:r>
                  </w:p>
                </w:txbxContent>
              </v:textbox>
            </v:shape>
          </v:group>
        </w:pict>
      </w: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Noto Sans Mono CJK JP Regular">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6</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AB131E"/>
    <w:rsid w:val="00003372"/>
    <w:rsid w:val="00004ED7"/>
    <w:rsid w:val="00007600"/>
    <w:rsid w:val="00022191"/>
    <w:rsid w:val="00023783"/>
    <w:rsid w:val="00041960"/>
    <w:rsid w:val="00042B58"/>
    <w:rsid w:val="00054B00"/>
    <w:rsid w:val="00055270"/>
    <w:rsid w:val="00057F76"/>
    <w:rsid w:val="0006560A"/>
    <w:rsid w:val="00072F8A"/>
    <w:rsid w:val="000750C8"/>
    <w:rsid w:val="00080630"/>
    <w:rsid w:val="00091661"/>
    <w:rsid w:val="00092D53"/>
    <w:rsid w:val="00096CBB"/>
    <w:rsid w:val="00097F7B"/>
    <w:rsid w:val="000B1B41"/>
    <w:rsid w:val="000B6901"/>
    <w:rsid w:val="000B728B"/>
    <w:rsid w:val="000C15B3"/>
    <w:rsid w:val="000C2B33"/>
    <w:rsid w:val="000D1995"/>
    <w:rsid w:val="000D7478"/>
    <w:rsid w:val="00120DFD"/>
    <w:rsid w:val="0012271F"/>
    <w:rsid w:val="00130519"/>
    <w:rsid w:val="00135BEE"/>
    <w:rsid w:val="0014667A"/>
    <w:rsid w:val="00154B58"/>
    <w:rsid w:val="00157157"/>
    <w:rsid w:val="00157C64"/>
    <w:rsid w:val="00157E81"/>
    <w:rsid w:val="00170126"/>
    <w:rsid w:val="00177059"/>
    <w:rsid w:val="00181D3E"/>
    <w:rsid w:val="00186BC2"/>
    <w:rsid w:val="00195A97"/>
    <w:rsid w:val="00196FAE"/>
    <w:rsid w:val="001A3E49"/>
    <w:rsid w:val="001A72AA"/>
    <w:rsid w:val="001B09C8"/>
    <w:rsid w:val="001B1E2C"/>
    <w:rsid w:val="001C44C7"/>
    <w:rsid w:val="001D65A2"/>
    <w:rsid w:val="001E1407"/>
    <w:rsid w:val="001F08A9"/>
    <w:rsid w:val="001F3DEE"/>
    <w:rsid w:val="001F4BD4"/>
    <w:rsid w:val="001F7297"/>
    <w:rsid w:val="00205D07"/>
    <w:rsid w:val="00212F39"/>
    <w:rsid w:val="00217116"/>
    <w:rsid w:val="00231EED"/>
    <w:rsid w:val="00232595"/>
    <w:rsid w:val="00233841"/>
    <w:rsid w:val="002343C8"/>
    <w:rsid w:val="00235736"/>
    <w:rsid w:val="00235F24"/>
    <w:rsid w:val="002417D2"/>
    <w:rsid w:val="00241FE8"/>
    <w:rsid w:val="0024527E"/>
    <w:rsid w:val="00253F7B"/>
    <w:rsid w:val="00263773"/>
    <w:rsid w:val="00263B1F"/>
    <w:rsid w:val="00281976"/>
    <w:rsid w:val="00291C17"/>
    <w:rsid w:val="0029313A"/>
    <w:rsid w:val="002A4696"/>
    <w:rsid w:val="002A668C"/>
    <w:rsid w:val="002B0B1C"/>
    <w:rsid w:val="002B598D"/>
    <w:rsid w:val="002B61C1"/>
    <w:rsid w:val="002D6326"/>
    <w:rsid w:val="002E1323"/>
    <w:rsid w:val="002F2D2F"/>
    <w:rsid w:val="002F3868"/>
    <w:rsid w:val="00300EF5"/>
    <w:rsid w:val="00302119"/>
    <w:rsid w:val="00302E87"/>
    <w:rsid w:val="00307F23"/>
    <w:rsid w:val="00310261"/>
    <w:rsid w:val="00317654"/>
    <w:rsid w:val="003270F0"/>
    <w:rsid w:val="00331589"/>
    <w:rsid w:val="0033665E"/>
    <w:rsid w:val="00337628"/>
    <w:rsid w:val="00343044"/>
    <w:rsid w:val="00344B01"/>
    <w:rsid w:val="003509FB"/>
    <w:rsid w:val="00353AC4"/>
    <w:rsid w:val="003616B4"/>
    <w:rsid w:val="00373EC0"/>
    <w:rsid w:val="003A090F"/>
    <w:rsid w:val="003A57B2"/>
    <w:rsid w:val="003B755F"/>
    <w:rsid w:val="003C0E26"/>
    <w:rsid w:val="003C7132"/>
    <w:rsid w:val="003D77A5"/>
    <w:rsid w:val="003E6BF6"/>
    <w:rsid w:val="003F221D"/>
    <w:rsid w:val="003F3097"/>
    <w:rsid w:val="00402AE8"/>
    <w:rsid w:val="00404C3E"/>
    <w:rsid w:val="00405FE6"/>
    <w:rsid w:val="004105BC"/>
    <w:rsid w:val="00420571"/>
    <w:rsid w:val="00421C27"/>
    <w:rsid w:val="00440A1F"/>
    <w:rsid w:val="00443603"/>
    <w:rsid w:val="00443604"/>
    <w:rsid w:val="004501EA"/>
    <w:rsid w:val="00452108"/>
    <w:rsid w:val="00460458"/>
    <w:rsid w:val="0046573A"/>
    <w:rsid w:val="0046792D"/>
    <w:rsid w:val="004767DF"/>
    <w:rsid w:val="00493CCC"/>
    <w:rsid w:val="004A0218"/>
    <w:rsid w:val="004A7840"/>
    <w:rsid w:val="004B545A"/>
    <w:rsid w:val="004B7E80"/>
    <w:rsid w:val="004C457E"/>
    <w:rsid w:val="004C48D5"/>
    <w:rsid w:val="004D03B7"/>
    <w:rsid w:val="004D1436"/>
    <w:rsid w:val="004D57AE"/>
    <w:rsid w:val="004E2228"/>
    <w:rsid w:val="004E46DE"/>
    <w:rsid w:val="004E6A8C"/>
    <w:rsid w:val="005056D4"/>
    <w:rsid w:val="00526B2B"/>
    <w:rsid w:val="005362B0"/>
    <w:rsid w:val="00542447"/>
    <w:rsid w:val="00564312"/>
    <w:rsid w:val="00591715"/>
    <w:rsid w:val="005938DE"/>
    <w:rsid w:val="005A2981"/>
    <w:rsid w:val="005A663A"/>
    <w:rsid w:val="005C3FAA"/>
    <w:rsid w:val="005C6937"/>
    <w:rsid w:val="005C7F02"/>
    <w:rsid w:val="005E1B5C"/>
    <w:rsid w:val="005F0A86"/>
    <w:rsid w:val="005F144A"/>
    <w:rsid w:val="005F1C00"/>
    <w:rsid w:val="00604896"/>
    <w:rsid w:val="0061621E"/>
    <w:rsid w:val="0062600A"/>
    <w:rsid w:val="00630AA8"/>
    <w:rsid w:val="00630B2E"/>
    <w:rsid w:val="00643D2A"/>
    <w:rsid w:val="0066041A"/>
    <w:rsid w:val="00664E11"/>
    <w:rsid w:val="00673B30"/>
    <w:rsid w:val="00696E5D"/>
    <w:rsid w:val="006A1A06"/>
    <w:rsid w:val="006B49E8"/>
    <w:rsid w:val="006B5B86"/>
    <w:rsid w:val="006C5908"/>
    <w:rsid w:val="006C633E"/>
    <w:rsid w:val="006D5087"/>
    <w:rsid w:val="006D56AB"/>
    <w:rsid w:val="006D734F"/>
    <w:rsid w:val="006D74BC"/>
    <w:rsid w:val="006E043F"/>
    <w:rsid w:val="006E4695"/>
    <w:rsid w:val="006E4B8B"/>
    <w:rsid w:val="006E5901"/>
    <w:rsid w:val="007028DF"/>
    <w:rsid w:val="0071091C"/>
    <w:rsid w:val="00714961"/>
    <w:rsid w:val="00744BD5"/>
    <w:rsid w:val="00745748"/>
    <w:rsid w:val="00750E36"/>
    <w:rsid w:val="00753CB0"/>
    <w:rsid w:val="00755460"/>
    <w:rsid w:val="00761FB7"/>
    <w:rsid w:val="00762107"/>
    <w:rsid w:val="00764CB9"/>
    <w:rsid w:val="00765B05"/>
    <w:rsid w:val="0077269F"/>
    <w:rsid w:val="00785F45"/>
    <w:rsid w:val="007A07F1"/>
    <w:rsid w:val="007A2780"/>
    <w:rsid w:val="007A68EA"/>
    <w:rsid w:val="007B06FC"/>
    <w:rsid w:val="007B0FEF"/>
    <w:rsid w:val="007B2DB5"/>
    <w:rsid w:val="007D2C11"/>
    <w:rsid w:val="007D6171"/>
    <w:rsid w:val="007D69EA"/>
    <w:rsid w:val="007E2C7B"/>
    <w:rsid w:val="007E411B"/>
    <w:rsid w:val="007F0863"/>
    <w:rsid w:val="007F2F3B"/>
    <w:rsid w:val="00802307"/>
    <w:rsid w:val="0082168E"/>
    <w:rsid w:val="00821968"/>
    <w:rsid w:val="0084639E"/>
    <w:rsid w:val="008471B6"/>
    <w:rsid w:val="00851521"/>
    <w:rsid w:val="0085686A"/>
    <w:rsid w:val="00860878"/>
    <w:rsid w:val="008731FF"/>
    <w:rsid w:val="0088294A"/>
    <w:rsid w:val="0089282A"/>
    <w:rsid w:val="008974E3"/>
    <w:rsid w:val="008A4538"/>
    <w:rsid w:val="008A704B"/>
    <w:rsid w:val="008B08D2"/>
    <w:rsid w:val="008B4EE5"/>
    <w:rsid w:val="008B5807"/>
    <w:rsid w:val="008B71EE"/>
    <w:rsid w:val="008C05CB"/>
    <w:rsid w:val="008D5FA0"/>
    <w:rsid w:val="008E2D38"/>
    <w:rsid w:val="008F5724"/>
    <w:rsid w:val="008F5900"/>
    <w:rsid w:val="00902633"/>
    <w:rsid w:val="009027D8"/>
    <w:rsid w:val="0090372F"/>
    <w:rsid w:val="00905098"/>
    <w:rsid w:val="00911E27"/>
    <w:rsid w:val="00911E9A"/>
    <w:rsid w:val="0092129A"/>
    <w:rsid w:val="00925BB2"/>
    <w:rsid w:val="0092678E"/>
    <w:rsid w:val="00930C8C"/>
    <w:rsid w:val="00934E2E"/>
    <w:rsid w:val="009360EA"/>
    <w:rsid w:val="00947C57"/>
    <w:rsid w:val="00951149"/>
    <w:rsid w:val="00960EDB"/>
    <w:rsid w:val="009622DB"/>
    <w:rsid w:val="009664BC"/>
    <w:rsid w:val="0097251F"/>
    <w:rsid w:val="00980F02"/>
    <w:rsid w:val="00991B77"/>
    <w:rsid w:val="00997523"/>
    <w:rsid w:val="0099781D"/>
    <w:rsid w:val="009A0C5D"/>
    <w:rsid w:val="009A58EB"/>
    <w:rsid w:val="009C4672"/>
    <w:rsid w:val="009C491B"/>
    <w:rsid w:val="009D0911"/>
    <w:rsid w:val="009D24F8"/>
    <w:rsid w:val="009D688C"/>
    <w:rsid w:val="009F7A36"/>
    <w:rsid w:val="00A1538B"/>
    <w:rsid w:val="00A249C2"/>
    <w:rsid w:val="00A24FAB"/>
    <w:rsid w:val="00A27E4F"/>
    <w:rsid w:val="00A301E7"/>
    <w:rsid w:val="00A3068F"/>
    <w:rsid w:val="00A42E69"/>
    <w:rsid w:val="00A45CA7"/>
    <w:rsid w:val="00A51415"/>
    <w:rsid w:val="00A6014E"/>
    <w:rsid w:val="00A60356"/>
    <w:rsid w:val="00A66F2C"/>
    <w:rsid w:val="00A81DF1"/>
    <w:rsid w:val="00A90EF3"/>
    <w:rsid w:val="00A94DC5"/>
    <w:rsid w:val="00AA7717"/>
    <w:rsid w:val="00AB131E"/>
    <w:rsid w:val="00AB644F"/>
    <w:rsid w:val="00AC3F5E"/>
    <w:rsid w:val="00AE7ACF"/>
    <w:rsid w:val="00B06409"/>
    <w:rsid w:val="00B10912"/>
    <w:rsid w:val="00B17D66"/>
    <w:rsid w:val="00B31FD9"/>
    <w:rsid w:val="00B33782"/>
    <w:rsid w:val="00B35D3A"/>
    <w:rsid w:val="00B422F1"/>
    <w:rsid w:val="00B71531"/>
    <w:rsid w:val="00B7456C"/>
    <w:rsid w:val="00B84131"/>
    <w:rsid w:val="00B8630E"/>
    <w:rsid w:val="00B931F4"/>
    <w:rsid w:val="00B95573"/>
    <w:rsid w:val="00B96395"/>
    <w:rsid w:val="00BA2892"/>
    <w:rsid w:val="00BA2AF8"/>
    <w:rsid w:val="00BB2650"/>
    <w:rsid w:val="00BB5BDC"/>
    <w:rsid w:val="00BB7B76"/>
    <w:rsid w:val="00BC57EA"/>
    <w:rsid w:val="00BC7E04"/>
    <w:rsid w:val="00BD233D"/>
    <w:rsid w:val="00BD6698"/>
    <w:rsid w:val="00BF4EF0"/>
    <w:rsid w:val="00C01775"/>
    <w:rsid w:val="00C02E44"/>
    <w:rsid w:val="00C147D2"/>
    <w:rsid w:val="00C2075F"/>
    <w:rsid w:val="00C2377A"/>
    <w:rsid w:val="00C23799"/>
    <w:rsid w:val="00C274C9"/>
    <w:rsid w:val="00C31E02"/>
    <w:rsid w:val="00C3486D"/>
    <w:rsid w:val="00C45BC1"/>
    <w:rsid w:val="00C54291"/>
    <w:rsid w:val="00C672C3"/>
    <w:rsid w:val="00C712B2"/>
    <w:rsid w:val="00C94325"/>
    <w:rsid w:val="00C97FED"/>
    <w:rsid w:val="00CA1DBB"/>
    <w:rsid w:val="00CA2622"/>
    <w:rsid w:val="00CA7F2C"/>
    <w:rsid w:val="00CA7FF8"/>
    <w:rsid w:val="00CB5DE7"/>
    <w:rsid w:val="00CC068D"/>
    <w:rsid w:val="00CC4922"/>
    <w:rsid w:val="00CD1FF6"/>
    <w:rsid w:val="00CD5DF7"/>
    <w:rsid w:val="00CE25C7"/>
    <w:rsid w:val="00CE3335"/>
    <w:rsid w:val="00CE4849"/>
    <w:rsid w:val="00CE5C8E"/>
    <w:rsid w:val="00CE5F49"/>
    <w:rsid w:val="00D01626"/>
    <w:rsid w:val="00D33A4D"/>
    <w:rsid w:val="00D33F76"/>
    <w:rsid w:val="00D41F5E"/>
    <w:rsid w:val="00D43DC0"/>
    <w:rsid w:val="00D457FB"/>
    <w:rsid w:val="00D54E56"/>
    <w:rsid w:val="00D6407D"/>
    <w:rsid w:val="00D93E78"/>
    <w:rsid w:val="00DA0BA9"/>
    <w:rsid w:val="00DA4697"/>
    <w:rsid w:val="00DA7D86"/>
    <w:rsid w:val="00DC6E91"/>
    <w:rsid w:val="00DC7514"/>
    <w:rsid w:val="00DD3845"/>
    <w:rsid w:val="00DF1C22"/>
    <w:rsid w:val="00E038A4"/>
    <w:rsid w:val="00E1687A"/>
    <w:rsid w:val="00E20A2E"/>
    <w:rsid w:val="00E25DF4"/>
    <w:rsid w:val="00E277DE"/>
    <w:rsid w:val="00E27EE9"/>
    <w:rsid w:val="00E3239D"/>
    <w:rsid w:val="00E3254B"/>
    <w:rsid w:val="00E3439B"/>
    <w:rsid w:val="00E42C5F"/>
    <w:rsid w:val="00E65A1B"/>
    <w:rsid w:val="00E72F1F"/>
    <w:rsid w:val="00E934AB"/>
    <w:rsid w:val="00EA06AC"/>
    <w:rsid w:val="00EA08BF"/>
    <w:rsid w:val="00EA24FB"/>
    <w:rsid w:val="00EB3204"/>
    <w:rsid w:val="00EB50BA"/>
    <w:rsid w:val="00EB5B41"/>
    <w:rsid w:val="00EC3D33"/>
    <w:rsid w:val="00ED302A"/>
    <w:rsid w:val="00ED3A42"/>
    <w:rsid w:val="00ED5D83"/>
    <w:rsid w:val="00EE02BC"/>
    <w:rsid w:val="00EE6970"/>
    <w:rsid w:val="00EF38D0"/>
    <w:rsid w:val="00EF3DDF"/>
    <w:rsid w:val="00EF4A8C"/>
    <w:rsid w:val="00EF4EB8"/>
    <w:rsid w:val="00F2678C"/>
    <w:rsid w:val="00F27B38"/>
    <w:rsid w:val="00F341DD"/>
    <w:rsid w:val="00F40278"/>
    <w:rsid w:val="00F41832"/>
    <w:rsid w:val="00F43EE1"/>
    <w:rsid w:val="00F56988"/>
    <w:rsid w:val="00F5789E"/>
    <w:rsid w:val="00F620FB"/>
    <w:rsid w:val="00F64129"/>
    <w:rsid w:val="00F64E58"/>
    <w:rsid w:val="00F6571F"/>
    <w:rsid w:val="00F755CD"/>
    <w:rsid w:val="00F8687E"/>
    <w:rsid w:val="00F91E34"/>
    <w:rsid w:val="00F93331"/>
    <w:rsid w:val="00F95549"/>
    <w:rsid w:val="00FA1E24"/>
    <w:rsid w:val="00FA24FB"/>
    <w:rsid w:val="00FA632B"/>
    <w:rsid w:val="00FB38EA"/>
    <w:rsid w:val="00FB5E0F"/>
    <w:rsid w:val="00FB6AFF"/>
    <w:rsid w:val="00FC4D8F"/>
    <w:rsid w:val="00FD06D3"/>
    <w:rsid w:val="00FE2050"/>
    <w:rsid w:val="00FE3157"/>
    <w:rsid w:val="00FE6865"/>
    <w:rsid w:val="00FE6993"/>
    <w:rsid w:val="00FE766F"/>
    <w:rsid w:val="04BD6CDE"/>
    <w:rsid w:val="05CE0686"/>
    <w:rsid w:val="08BA2F9B"/>
    <w:rsid w:val="0F171078"/>
    <w:rsid w:val="0FDC1706"/>
    <w:rsid w:val="0FE70B59"/>
    <w:rsid w:val="132D4077"/>
    <w:rsid w:val="146A3B1E"/>
    <w:rsid w:val="15B96717"/>
    <w:rsid w:val="16853D04"/>
    <w:rsid w:val="1D7E2FE8"/>
    <w:rsid w:val="1DCE0539"/>
    <w:rsid w:val="1E8C4C97"/>
    <w:rsid w:val="1ED51C34"/>
    <w:rsid w:val="215F6FFC"/>
    <w:rsid w:val="21F55775"/>
    <w:rsid w:val="21FF6A1F"/>
    <w:rsid w:val="2204175C"/>
    <w:rsid w:val="24E44141"/>
    <w:rsid w:val="26F31CD4"/>
    <w:rsid w:val="27026603"/>
    <w:rsid w:val="275F71C9"/>
    <w:rsid w:val="296B2816"/>
    <w:rsid w:val="2AD76EDF"/>
    <w:rsid w:val="2CB92B46"/>
    <w:rsid w:val="2DAE642C"/>
    <w:rsid w:val="2FBE4512"/>
    <w:rsid w:val="2FDA35CC"/>
    <w:rsid w:val="302B74FE"/>
    <w:rsid w:val="30744AA7"/>
    <w:rsid w:val="30F5460F"/>
    <w:rsid w:val="32625497"/>
    <w:rsid w:val="33DB2262"/>
    <w:rsid w:val="34010683"/>
    <w:rsid w:val="34F123CB"/>
    <w:rsid w:val="3521127B"/>
    <w:rsid w:val="353252AC"/>
    <w:rsid w:val="386E46FB"/>
    <w:rsid w:val="38FC5A11"/>
    <w:rsid w:val="3B974104"/>
    <w:rsid w:val="3E3A16CF"/>
    <w:rsid w:val="3E71542C"/>
    <w:rsid w:val="4279452F"/>
    <w:rsid w:val="447839A2"/>
    <w:rsid w:val="461E3A90"/>
    <w:rsid w:val="484E3FB8"/>
    <w:rsid w:val="48AF00E0"/>
    <w:rsid w:val="48AF4B48"/>
    <w:rsid w:val="48E72B03"/>
    <w:rsid w:val="49C33DD5"/>
    <w:rsid w:val="4B786170"/>
    <w:rsid w:val="4C393468"/>
    <w:rsid w:val="4CFF6463"/>
    <w:rsid w:val="4D202EC8"/>
    <w:rsid w:val="51D566FF"/>
    <w:rsid w:val="5244241B"/>
    <w:rsid w:val="593D3EBD"/>
    <w:rsid w:val="59AD570D"/>
    <w:rsid w:val="5D753E42"/>
    <w:rsid w:val="5E106116"/>
    <w:rsid w:val="5F7A1560"/>
    <w:rsid w:val="5F7D2AA8"/>
    <w:rsid w:val="606D0380"/>
    <w:rsid w:val="609F288A"/>
    <w:rsid w:val="64C673AE"/>
    <w:rsid w:val="65633DB5"/>
    <w:rsid w:val="66101E5B"/>
    <w:rsid w:val="686F22AC"/>
    <w:rsid w:val="69756676"/>
    <w:rsid w:val="69E90E92"/>
    <w:rsid w:val="6A8A6092"/>
    <w:rsid w:val="6A9C5FB9"/>
    <w:rsid w:val="6D2F053D"/>
    <w:rsid w:val="6DBB6728"/>
    <w:rsid w:val="6E99665B"/>
    <w:rsid w:val="6F595558"/>
    <w:rsid w:val="701A0DE2"/>
    <w:rsid w:val="725909D7"/>
    <w:rsid w:val="73925400"/>
    <w:rsid w:val="73FB3E92"/>
    <w:rsid w:val="74976D63"/>
    <w:rsid w:val="75AD408A"/>
    <w:rsid w:val="76D720B4"/>
    <w:rsid w:val="7A4835C2"/>
    <w:rsid w:val="7C5B443C"/>
    <w:rsid w:val="7FE51B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AutoShape 216"/>
        <o:r id="V:Rule2" type="connector" idref="#AutoShape 217"/>
        <o:r id="V:Rule3" type="connector" idref="#AutoShape 218"/>
        <o:r id="V:Rule4" type="connector" idref="#AutoShape 219"/>
        <o:r id="V:Rule5" type="connector" idref="#AutoShape 2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name="footnote text"/>
    <w:lsdException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3"/>
    <w:qFormat/>
    <w:uiPriority w:val="9"/>
    <w:pPr>
      <w:ind w:firstLine="600" w:firstLineChars="200"/>
      <w:outlineLvl w:val="0"/>
    </w:pPr>
    <w:rPr>
      <w:rFonts w:ascii="黑体" w:hAnsi="黑体" w:eastAsia="黑体" w:cs="宋体"/>
      <w:color w:val="000000"/>
      <w:kern w:val="0"/>
      <w:sz w:val="30"/>
      <w:szCs w:val="30"/>
    </w:rPr>
  </w:style>
  <w:style w:type="paragraph" w:styleId="3">
    <w:name w:val="heading 2"/>
    <w:basedOn w:val="1"/>
    <w:next w:val="1"/>
    <w:link w:val="34"/>
    <w:qFormat/>
    <w:uiPriority w:val="9"/>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35"/>
    <w:qFormat/>
    <w:uiPriority w:val="9"/>
    <w:pPr>
      <w:ind w:right="300"/>
      <w:outlineLvl w:val="2"/>
    </w:pPr>
    <w:rPr>
      <w:rFonts w:ascii="仿宋_GB2312" w:eastAsia="仿宋_GB2312" w:cs="Times New Roman"/>
      <w:sz w:val="30"/>
      <w:szCs w:val="3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9"/>
    <w:unhideWhenUsed/>
    <w:qFormat/>
    <w:uiPriority w:val="0"/>
    <w:rPr>
      <w:rFonts w:ascii="宋体"/>
      <w:sz w:val="18"/>
      <w:szCs w:val="18"/>
    </w:rPr>
  </w:style>
  <w:style w:type="paragraph" w:styleId="6">
    <w:name w:val="annotation text"/>
    <w:basedOn w:val="1"/>
    <w:link w:val="32"/>
    <w:unhideWhenUsed/>
    <w:uiPriority w:val="99"/>
    <w:pPr>
      <w:jc w:val="left"/>
    </w:pPr>
    <w:rPr>
      <w:rFonts w:cs="Times New Roman"/>
    </w:rPr>
  </w:style>
  <w:style w:type="paragraph" w:styleId="7">
    <w:name w:val="Balloon Text"/>
    <w:basedOn w:val="1"/>
    <w:link w:val="30"/>
    <w:unhideWhenUsed/>
    <w:qFormat/>
    <w:uiPriority w:val="0"/>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7"/>
    <w:semiHidden/>
    <w:qFormat/>
    <w:uiPriority w:val="0"/>
    <w:pPr>
      <w:snapToGrid w:val="0"/>
      <w:jc w:val="left"/>
    </w:pPr>
    <w:rPr>
      <w:rFonts w:ascii="Times New Roman" w:hAnsi="Times New Roman"/>
      <w:sz w:val="18"/>
      <w:szCs w:val="18"/>
    </w:rPr>
  </w:style>
  <w:style w:type="paragraph" w:styleId="11">
    <w:name w:val="HTML Preformatted"/>
    <w:basedOn w:val="1"/>
    <w:link w:val="3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basedOn w:val="15"/>
    <w:unhideWhenUsed/>
    <w:qFormat/>
    <w:uiPriority w:val="99"/>
    <w:rPr>
      <w:rFonts w:hint="default" w:ascii="ˎ̥" w:hAnsi="ˎ̥"/>
      <w:color w:val="0453CC"/>
      <w:sz w:val="20"/>
      <w:szCs w:val="20"/>
      <w:u w:val="none"/>
    </w:rPr>
  </w:style>
  <w:style w:type="character" w:styleId="17">
    <w:name w:val="annotation reference"/>
    <w:basedOn w:val="15"/>
    <w:unhideWhenUsed/>
    <w:qFormat/>
    <w:uiPriority w:val="0"/>
    <w:rPr>
      <w:sz w:val="21"/>
      <w:szCs w:val="21"/>
    </w:rPr>
  </w:style>
  <w:style w:type="character" w:styleId="18">
    <w:name w:val="footnote reference"/>
    <w:unhideWhenUsed/>
    <w:qFormat/>
    <w:uiPriority w:val="0"/>
    <w:rPr>
      <w:rFonts w:ascii="Times New Roman" w:hAnsi="Times New Roman" w:cs="Times New Roman"/>
      <w:vertAlign w:val="superscript"/>
    </w:rPr>
  </w:style>
  <w:style w:type="paragraph" w:customStyle="1" w:styleId="19">
    <w:name w:val="列出段落1"/>
    <w:basedOn w:val="1"/>
    <w:qFormat/>
    <w:uiPriority w:val="34"/>
    <w:pPr>
      <w:ind w:firstLine="420" w:firstLineChars="200"/>
    </w:pPr>
  </w:style>
  <w:style w:type="paragraph" w:customStyle="1" w:styleId="20">
    <w:name w:val="Defaul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1">
    <w:name w:val="juzhon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修订1"/>
    <w:hidden/>
    <w:semiHidden/>
    <w:qFormat/>
    <w:uiPriority w:val="99"/>
    <w:rPr>
      <w:rFonts w:ascii="Calibri" w:hAnsi="Calibri" w:eastAsia="宋体" w:cs="黑体"/>
      <w:kern w:val="2"/>
      <w:sz w:val="21"/>
      <w:szCs w:val="22"/>
      <w:lang w:val="en-US" w:eastAsia="zh-CN" w:bidi="ar-SA"/>
    </w:rPr>
  </w:style>
  <w:style w:type="paragraph" w:customStyle="1" w:styleId="23">
    <w:name w:val="列出段落11"/>
    <w:basedOn w:val="1"/>
    <w:qFormat/>
    <w:uiPriority w:val="34"/>
    <w:pPr>
      <w:ind w:firstLine="420" w:firstLineChars="200"/>
    </w:pPr>
    <w:rPr>
      <w:rFonts w:cs="Times New Roman"/>
    </w:rPr>
  </w:style>
  <w:style w:type="paragraph" w:customStyle="1" w:styleId="24">
    <w:name w:val="列出段落4"/>
    <w:basedOn w:val="1"/>
    <w:qFormat/>
    <w:uiPriority w:val="0"/>
    <w:pPr>
      <w:ind w:firstLine="200" w:firstLineChars="200"/>
    </w:pPr>
    <w:rPr>
      <w:rFonts w:cs="Times New Roman"/>
    </w:rPr>
  </w:style>
  <w:style w:type="paragraph" w:customStyle="1" w:styleId="25">
    <w:name w:val="列出段落3"/>
    <w:basedOn w:val="1"/>
    <w:qFormat/>
    <w:uiPriority w:val="0"/>
    <w:pPr>
      <w:ind w:firstLine="420" w:firstLineChars="200"/>
    </w:pPr>
    <w:rPr>
      <w:rFonts w:ascii="Times New Roman" w:hAnsi="Times New Roman" w:cs="Times New Roman"/>
      <w:szCs w:val="24"/>
    </w:rPr>
  </w:style>
  <w:style w:type="paragraph" w:customStyle="1" w:styleId="26">
    <w:name w:val="p0"/>
    <w:basedOn w:val="1"/>
    <w:qFormat/>
    <w:uiPriority w:val="0"/>
    <w:pPr>
      <w:widowControl/>
    </w:pPr>
    <w:rPr>
      <w:rFonts w:cs="宋体"/>
      <w:kern w:val="0"/>
      <w:szCs w:val="21"/>
    </w:rPr>
  </w:style>
  <w:style w:type="paragraph" w:customStyle="1" w:styleId="27">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character" w:customStyle="1" w:styleId="28">
    <w:name w:val="页眉 Char"/>
    <w:basedOn w:val="15"/>
    <w:link w:val="9"/>
    <w:qFormat/>
    <w:uiPriority w:val="99"/>
    <w:rPr>
      <w:sz w:val="18"/>
      <w:szCs w:val="18"/>
    </w:rPr>
  </w:style>
  <w:style w:type="character" w:customStyle="1" w:styleId="29">
    <w:name w:val="页脚 Char"/>
    <w:basedOn w:val="15"/>
    <w:link w:val="8"/>
    <w:qFormat/>
    <w:uiPriority w:val="99"/>
    <w:rPr>
      <w:sz w:val="18"/>
      <w:szCs w:val="18"/>
    </w:rPr>
  </w:style>
  <w:style w:type="character" w:customStyle="1" w:styleId="30">
    <w:name w:val="批注框文本 Char"/>
    <w:basedOn w:val="15"/>
    <w:link w:val="7"/>
    <w:semiHidden/>
    <w:qFormat/>
    <w:uiPriority w:val="0"/>
    <w:rPr>
      <w:sz w:val="18"/>
      <w:szCs w:val="18"/>
    </w:rPr>
  </w:style>
  <w:style w:type="character" w:customStyle="1" w:styleId="31">
    <w:name w:val="HTML 预设格式 Char"/>
    <w:basedOn w:val="15"/>
    <w:link w:val="11"/>
    <w:qFormat/>
    <w:uiPriority w:val="99"/>
    <w:rPr>
      <w:rFonts w:ascii="宋体" w:hAnsi="宋体" w:eastAsia="宋体" w:cs="宋体"/>
      <w:kern w:val="0"/>
      <w:sz w:val="24"/>
      <w:szCs w:val="24"/>
    </w:rPr>
  </w:style>
  <w:style w:type="character" w:customStyle="1" w:styleId="32">
    <w:name w:val="批注文字 Char"/>
    <w:basedOn w:val="15"/>
    <w:link w:val="6"/>
    <w:semiHidden/>
    <w:qFormat/>
    <w:uiPriority w:val="0"/>
    <w:rPr>
      <w:rFonts w:ascii="Calibri" w:hAnsi="Calibri" w:eastAsia="宋体" w:cs="Times New Roman"/>
    </w:rPr>
  </w:style>
  <w:style w:type="character" w:customStyle="1" w:styleId="33">
    <w:name w:val="标题 1 Char"/>
    <w:basedOn w:val="15"/>
    <w:link w:val="2"/>
    <w:qFormat/>
    <w:uiPriority w:val="9"/>
    <w:rPr>
      <w:rFonts w:ascii="黑体" w:hAnsi="黑体" w:eastAsia="黑体" w:cs="宋体"/>
      <w:color w:val="000000"/>
      <w:kern w:val="0"/>
      <w:sz w:val="30"/>
      <w:szCs w:val="30"/>
    </w:rPr>
  </w:style>
  <w:style w:type="character" w:customStyle="1" w:styleId="34">
    <w:name w:val="标题 2 Char"/>
    <w:basedOn w:val="15"/>
    <w:link w:val="3"/>
    <w:qFormat/>
    <w:uiPriority w:val="0"/>
    <w:rPr>
      <w:rFonts w:ascii="Cambria" w:hAnsi="Cambria" w:eastAsia="宋体" w:cs="Times New Roman"/>
      <w:b/>
      <w:bCs/>
      <w:sz w:val="32"/>
      <w:szCs w:val="32"/>
    </w:rPr>
  </w:style>
  <w:style w:type="character" w:customStyle="1" w:styleId="35">
    <w:name w:val="标题 3 Char"/>
    <w:basedOn w:val="15"/>
    <w:link w:val="4"/>
    <w:qFormat/>
    <w:uiPriority w:val="9"/>
    <w:rPr>
      <w:rFonts w:ascii="仿宋_GB2312" w:hAnsi="Calibri" w:eastAsia="仿宋_GB2312" w:cs="Times New Roman"/>
      <w:sz w:val="30"/>
      <w:szCs w:val="30"/>
    </w:rPr>
  </w:style>
  <w:style w:type="character" w:customStyle="1" w:styleId="36">
    <w:name w:val="脚注文本 Char"/>
    <w:basedOn w:val="15"/>
    <w:semiHidden/>
    <w:qFormat/>
    <w:uiPriority w:val="99"/>
    <w:rPr>
      <w:kern w:val="2"/>
      <w:sz w:val="18"/>
      <w:szCs w:val="18"/>
    </w:rPr>
  </w:style>
  <w:style w:type="character" w:customStyle="1" w:styleId="37">
    <w:name w:val="脚注文本 Char1"/>
    <w:basedOn w:val="15"/>
    <w:link w:val="10"/>
    <w:semiHidden/>
    <w:qFormat/>
    <w:uiPriority w:val="0"/>
    <w:rPr>
      <w:rFonts w:ascii="Times New Roman" w:hAnsi="Times New Roman"/>
      <w:sz w:val="18"/>
      <w:szCs w:val="18"/>
    </w:rPr>
  </w:style>
  <w:style w:type="character" w:customStyle="1" w:styleId="38">
    <w:name w:val="标题 4 Char Char"/>
    <w:qFormat/>
    <w:uiPriority w:val="0"/>
    <w:rPr>
      <w:rFonts w:ascii="Calibri" w:hAnsi="Calibri"/>
      <w:b/>
      <w:bCs/>
      <w:sz w:val="28"/>
      <w:szCs w:val="28"/>
      <w:lang w:eastAsia="en-US" w:bidi="en-US"/>
    </w:rPr>
  </w:style>
  <w:style w:type="character" w:customStyle="1" w:styleId="39">
    <w:name w:val="文档结构图 Char"/>
    <w:basedOn w:val="15"/>
    <w:link w:val="5"/>
    <w:qFormat/>
    <w:uiPriority w:val="0"/>
    <w:rPr>
      <w:rFonts w:ascii="宋体"/>
      <w:sz w:val="18"/>
      <w:szCs w:val="18"/>
    </w:rPr>
  </w:style>
  <w:style w:type="character" w:customStyle="1" w:styleId="40">
    <w:name w:val="批注文字 Char1"/>
    <w:basedOn w:val="15"/>
    <w:semiHidden/>
    <w:qFormat/>
    <w:uiPriority w:val="99"/>
    <w:rPr>
      <w:kern w:val="2"/>
      <w:sz w:val="21"/>
      <w:szCs w:val="22"/>
    </w:rPr>
  </w:style>
  <w:style w:type="character" w:customStyle="1" w:styleId="41">
    <w:name w:val="明显强调1"/>
    <w:basedOn w:val="15"/>
    <w:qFormat/>
    <w:uiPriority w:val="21"/>
    <w:rPr>
      <w:b/>
      <w:bCs/>
      <w:i/>
      <w:iCs/>
      <w:color w:val="4F81BD"/>
    </w:rPr>
  </w:style>
  <w:style w:type="character" w:customStyle="1" w:styleId="42">
    <w:name w:val="文档结构图 Char1"/>
    <w:basedOn w:val="15"/>
    <w:semiHidden/>
    <w:qFormat/>
    <w:uiPriority w:val="99"/>
    <w:rPr>
      <w:rFonts w:ascii="宋体" w:eastAsia="宋体"/>
      <w:sz w:val="18"/>
      <w:szCs w:val="18"/>
    </w:rPr>
  </w:style>
  <w:style w:type="character" w:customStyle="1" w:styleId="43">
    <w:name w:val="脚注文本 Char2"/>
    <w:basedOn w:val="1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263</Words>
  <Characters>1504</Characters>
  <Lines>12</Lines>
  <Paragraphs>3</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2020-02-27T03:48:00Z</dcterms:created>
  <dc:creator>裴建君2</dc:creator>
  <cp:lastModifiedBy>丁蒙/办公室/南宁/PBC</cp:lastModifiedBy>
  <cp:lastPrinted>2020-09-23T02:38:00Z</cp:lastPrinted>
  <dcterms:modified xsi:type="dcterms:W3CDTF">2023-08-17T09:50:14Z</dcterms:modified>
  <dc:title>编号：57016               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9FFF2FD1C67E4E21A426AA7C3CA7E2AA_12</vt:lpwstr>
  </property>
</Properties>
</file>