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00"/>
        <w:jc w:val="left"/>
        <w:rPr>
          <w:rFonts w:hint="eastAsia" w:ascii="黑体" w:hAnsi="黑体" w:eastAsia="黑体" w:cs="黑体"/>
          <w:color w:val="auto"/>
          <w:sz w:val="30"/>
          <w:szCs w:val="30"/>
        </w:rPr>
      </w:pPr>
      <w:r>
        <w:rPr>
          <w:rFonts w:hint="eastAsia" w:ascii="黑体" w:hAnsi="黑体" w:eastAsia="黑体" w:cs="黑体"/>
          <w:color w:val="auto"/>
          <w:sz w:val="30"/>
          <w:szCs w:val="30"/>
        </w:rPr>
        <w:t>编号：</w:t>
      </w:r>
      <w:r>
        <w:rPr>
          <w:rFonts w:hint="default" w:ascii="黑体" w:hAnsi="黑体" w:eastAsia="黑体" w:cs="黑体"/>
          <w:color w:val="auto"/>
          <w:sz w:val="30"/>
          <w:szCs w:val="30"/>
          <w:lang w:eastAsia="zh-CN"/>
        </w:rPr>
        <w:t>000171101001</w:t>
      </w:r>
      <w:r>
        <w:rPr>
          <w:rFonts w:hint="eastAsia" w:ascii="黑体" w:hAnsi="黑体" w:eastAsia="黑体" w:cs="黑体"/>
          <w:color w:val="auto"/>
          <w:sz w:val="30"/>
          <w:szCs w:val="30"/>
        </w:rPr>
        <w:t xml:space="preserve">           </w:t>
      </w: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52"/>
          <w:szCs w:val="52"/>
        </w:rPr>
      </w:pPr>
    </w:p>
    <w:p>
      <w:pPr>
        <w:ind w:right="300"/>
        <w:jc w:val="center"/>
        <w:rPr>
          <w:rFonts w:ascii="Times New Roman" w:hAnsi="Times New Roman" w:eastAsia="黑体" w:cs="Times New Roman"/>
          <w:color w:val="auto"/>
          <w:sz w:val="52"/>
          <w:szCs w:val="52"/>
        </w:rPr>
      </w:pPr>
      <w:r>
        <w:rPr>
          <w:rFonts w:ascii="Times New Roman" w:hAnsi="Times New Roman" w:eastAsia="黑体" w:cs="Times New Roman"/>
          <w:color w:val="auto"/>
          <w:sz w:val="52"/>
          <w:szCs w:val="52"/>
        </w:rPr>
        <w:t>“</w:t>
      </w:r>
      <w:r>
        <w:rPr>
          <w:rFonts w:hint="default" w:ascii="Times New Roman" w:hAnsi="Times New Roman" w:eastAsia="黑体" w:cs="Times New Roman"/>
          <w:color w:val="auto"/>
          <w:sz w:val="52"/>
          <w:szCs w:val="52"/>
          <w:lang w:val="en-US" w:eastAsia="zh-CN"/>
        </w:rPr>
        <w:t>分局办理的一般经常项目收支企业登记</w:t>
      </w:r>
      <w:r>
        <w:rPr>
          <w:rFonts w:ascii="Times New Roman" w:hAnsi="Times New Roman" w:eastAsia="黑体" w:cs="Times New Roman"/>
          <w:color w:val="auto"/>
          <w:sz w:val="52"/>
          <w:szCs w:val="52"/>
        </w:rPr>
        <w:t>”行政审批服务指南</w:t>
      </w: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hint="eastAsia" w:ascii="宋体" w:hAnsi="宋体" w:eastAsia="宋体" w:cs="宋体"/>
          <w:b w:val="0"/>
          <w:bCs w:val="0"/>
          <w:color w:val="auto"/>
          <w:sz w:val="40"/>
          <w:szCs w:val="40"/>
          <w:lang w:val="en-US" w:eastAsia="zh-CN"/>
        </w:rPr>
      </w:pPr>
      <w:r>
        <w:rPr>
          <w:rFonts w:hint="eastAsia" w:ascii="宋体" w:hAnsi="宋体" w:eastAsia="宋体" w:cs="宋体"/>
          <w:b w:val="0"/>
          <w:bCs w:val="0"/>
          <w:color w:val="auto"/>
          <w:sz w:val="40"/>
          <w:szCs w:val="40"/>
          <w:lang w:val="en-US" w:eastAsia="zh-CN"/>
        </w:rPr>
        <w:t>国家外汇管理局广西壮族自治区分局</w:t>
      </w:r>
    </w:p>
    <w:p>
      <w:pPr>
        <w:pStyle w:val="13"/>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ind w:right="300"/>
        <w:jc w:val="center"/>
        <w:rPr>
          <w:rFonts w:ascii="Times New Roman" w:hAnsi="Times New Roman" w:eastAsia="仿宋_GB2312" w:cs="Times New Roman"/>
          <w:color w:val="auto"/>
          <w:sz w:val="30"/>
          <w:szCs w:val="30"/>
        </w:rPr>
      </w:pPr>
      <w:r>
        <w:rPr>
          <w:rFonts w:hint="eastAsia" w:ascii="宋体" w:hAnsi="宋体" w:eastAsia="宋体" w:cs="宋体"/>
          <w:b w:val="0"/>
          <w:bCs w:val="0"/>
          <w:color w:val="auto"/>
          <w:sz w:val="40"/>
          <w:szCs w:val="40"/>
          <w:lang w:val="en-US" w:eastAsia="zh-CN"/>
        </w:rPr>
        <w:t>202</w:t>
      </w:r>
      <w:r>
        <w:rPr>
          <w:rFonts w:hint="eastAsia" w:ascii="宋体" w:hAnsi="宋体" w:cs="宋体"/>
          <w:b w:val="0"/>
          <w:bCs w:val="0"/>
          <w:color w:val="auto"/>
          <w:sz w:val="40"/>
          <w:szCs w:val="40"/>
          <w:lang w:val="en-US" w:eastAsia="zh-CN"/>
        </w:rPr>
        <w:t>3</w:t>
      </w:r>
      <w:r>
        <w:rPr>
          <w:rFonts w:hint="eastAsia" w:ascii="宋体" w:hAnsi="宋体" w:eastAsia="宋体" w:cs="宋体"/>
          <w:b w:val="0"/>
          <w:bCs w:val="0"/>
          <w:color w:val="auto"/>
          <w:sz w:val="40"/>
          <w:szCs w:val="40"/>
          <w:lang w:val="en-US" w:eastAsia="zh-CN"/>
        </w:rPr>
        <w:t>年</w:t>
      </w:r>
      <w:r>
        <w:rPr>
          <w:rFonts w:hint="eastAsia" w:ascii="宋体" w:hAnsi="宋体" w:cs="宋体"/>
          <w:b w:val="0"/>
          <w:bCs w:val="0"/>
          <w:color w:val="auto"/>
          <w:sz w:val="40"/>
          <w:szCs w:val="40"/>
          <w:lang w:val="en-US" w:eastAsia="zh-CN"/>
        </w:rPr>
        <w:t>8</w:t>
      </w:r>
      <w:r>
        <w:rPr>
          <w:rFonts w:hint="eastAsia" w:ascii="宋体" w:hAnsi="宋体" w:eastAsia="宋体" w:cs="宋体"/>
          <w:b w:val="0"/>
          <w:bCs w:val="0"/>
          <w:color w:val="auto"/>
          <w:sz w:val="40"/>
          <w:szCs w:val="40"/>
          <w:lang w:val="en-US" w:eastAsia="zh-CN"/>
        </w:rPr>
        <w:t>月</w:t>
      </w:r>
    </w:p>
    <w:p>
      <w:pPr>
        <w:ind w:right="300"/>
        <w:rPr>
          <w:rFonts w:ascii="Times New Roman" w:hAnsi="Times New Roman" w:eastAsia="仿宋_GB2312" w:cs="Times New Roman"/>
          <w:color w:val="auto"/>
          <w:sz w:val="30"/>
          <w:szCs w:val="30"/>
        </w:rPr>
      </w:pPr>
    </w:p>
    <w:p>
      <w:pPr>
        <w:ind w:right="300"/>
        <w:rPr>
          <w:rFonts w:ascii="Times New Roman" w:hAnsi="Times New Roman" w:eastAsia="仿宋_GB2312" w:cs="Times New Roman"/>
          <w:color w:val="auto"/>
          <w:sz w:val="30"/>
          <w:szCs w:val="30"/>
        </w:rPr>
        <w:sectPr>
          <w:footerReference r:id="rId4" w:type="first"/>
          <w:footerReference r:id="rId3" w:type="default"/>
          <w:pgSz w:w="11906" w:h="16838"/>
          <w:pgMar w:top="1440" w:right="1800" w:bottom="1440" w:left="1800" w:header="851" w:footer="992" w:gutter="0"/>
          <w:cols w:space="720" w:num="1"/>
          <w:docGrid w:type="lines" w:linePitch="312" w:charSpace="0"/>
        </w:sectPr>
      </w:pPr>
    </w:p>
    <w:p>
      <w:pPr>
        <w:adjustRightInd w:val="0"/>
        <w:snapToGrid w:val="0"/>
        <w:spacing w:line="360" w:lineRule="auto"/>
        <w:ind w:firstLine="600" w:firstLineChars="200"/>
        <w:jc w:val="left"/>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一、项目信息</w:t>
      </w:r>
    </w:p>
    <w:p>
      <w:pPr>
        <w:adjustRightInd w:val="0"/>
        <w:snapToGrid w:val="0"/>
        <w:spacing w:line="360" w:lineRule="auto"/>
        <w:ind w:firstLine="585"/>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项目名称：</w:t>
      </w:r>
      <w:r>
        <w:rPr>
          <w:rFonts w:hint="default" w:ascii="Times New Roman" w:hAnsi="Times New Roman" w:eastAsia="仿宋_GB2312" w:cs="Times New Roman"/>
          <w:color w:val="auto"/>
          <w:sz w:val="30"/>
          <w:szCs w:val="30"/>
          <w:highlight w:val="none"/>
          <w:lang w:val="en-US" w:eastAsia="zh-CN"/>
        </w:rPr>
        <w:t>经常项目收支企业核准</w:t>
      </w:r>
      <w:r>
        <w:rPr>
          <w:rFonts w:ascii="Times New Roman" w:hAnsi="Times New Roman" w:eastAsia="仿宋_GB2312" w:cs="Times New Roman"/>
          <w:color w:val="auto"/>
          <w:sz w:val="30"/>
          <w:szCs w:val="30"/>
        </w:rPr>
        <w:t>；</w:t>
      </w:r>
    </w:p>
    <w:p>
      <w:pPr>
        <w:adjustRightInd w:val="0"/>
        <w:snapToGrid w:val="0"/>
        <w:spacing w:line="360" w:lineRule="auto"/>
        <w:ind w:firstLine="585"/>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项目编号：</w:t>
      </w:r>
      <w:r>
        <w:rPr>
          <w:rFonts w:hint="default" w:ascii="Times New Roman" w:hAnsi="Times New Roman" w:eastAsia="仿宋_GB2312" w:cs="Times New Roman"/>
          <w:color w:val="auto"/>
          <w:sz w:val="30"/>
          <w:szCs w:val="30"/>
          <w:highlight w:val="none"/>
          <w:lang w:eastAsia="zh-CN"/>
        </w:rPr>
        <w:t>00017110100Y</w:t>
      </w:r>
      <w:r>
        <w:rPr>
          <w:rFonts w:ascii="Times New Roman" w:hAnsi="Times New Roman" w:eastAsia="仿宋_GB2312" w:cs="Times New Roman"/>
          <w:color w:val="auto"/>
          <w:sz w:val="30"/>
          <w:szCs w:val="30"/>
        </w:rPr>
        <w:t>；</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子项名称：</w:t>
      </w:r>
      <w:r>
        <w:rPr>
          <w:rFonts w:hint="default" w:ascii="Times New Roman" w:hAnsi="Times New Roman" w:eastAsia="仿宋_GB2312" w:cs="Times New Roman"/>
          <w:color w:val="auto"/>
          <w:sz w:val="30"/>
          <w:szCs w:val="30"/>
          <w:highlight w:val="none"/>
          <w:lang w:val="en-US" w:eastAsia="zh-CN"/>
        </w:rPr>
        <w:t>分局办理的一般经常项目收支企业登记</w:t>
      </w:r>
      <w:r>
        <w:rPr>
          <w:rFonts w:ascii="Times New Roman" w:hAnsi="Times New Roman" w:eastAsia="仿宋_GB2312" w:cs="Times New Roman"/>
          <w:color w:val="auto"/>
          <w:sz w:val="30"/>
          <w:szCs w:val="30"/>
        </w:rPr>
        <w:t>；</w:t>
      </w:r>
    </w:p>
    <w:p>
      <w:pPr>
        <w:adjustRightInd w:val="0"/>
        <w:snapToGrid w:val="0"/>
        <w:spacing w:line="360" w:lineRule="auto"/>
        <w:ind w:firstLine="585"/>
        <w:jc w:val="left"/>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子项</w:t>
      </w:r>
      <w:r>
        <w:rPr>
          <w:rFonts w:ascii="Times New Roman" w:hAnsi="Times New Roman" w:eastAsia="仿宋_GB2312" w:cs="Times New Roman"/>
          <w:color w:val="auto"/>
          <w:sz w:val="30"/>
          <w:szCs w:val="30"/>
        </w:rPr>
        <w:t>编号：</w:t>
      </w:r>
      <w:r>
        <w:rPr>
          <w:rFonts w:hint="default" w:ascii="Times New Roman" w:hAnsi="Times New Roman" w:eastAsia="仿宋_GB2312" w:cs="Times New Roman"/>
          <w:color w:val="auto"/>
          <w:sz w:val="30"/>
          <w:szCs w:val="30"/>
          <w:lang w:eastAsia="zh-CN"/>
        </w:rPr>
        <w:t>000171101001</w:t>
      </w:r>
      <w:r>
        <w:rPr>
          <w:rFonts w:ascii="Times New Roman" w:hAnsi="Times New Roman" w:eastAsia="仿宋_GB2312" w:cs="Times New Roman"/>
          <w:color w:val="auto"/>
          <w:sz w:val="30"/>
          <w:szCs w:val="30"/>
        </w:rPr>
        <w:t>；</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审批类别：行政许可。</w:t>
      </w:r>
    </w:p>
    <w:p>
      <w:pPr>
        <w:adjustRightInd w:val="0"/>
        <w:snapToGri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二、适用范围</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本指南适用于“</w:t>
      </w:r>
      <w:r>
        <w:rPr>
          <w:rFonts w:hint="default" w:ascii="Times New Roman" w:hAnsi="Times New Roman" w:eastAsia="仿宋_GB2312" w:cs="Times New Roman"/>
          <w:color w:val="auto"/>
          <w:sz w:val="30"/>
          <w:szCs w:val="30"/>
          <w:highlight w:val="none"/>
          <w:lang w:val="en-US" w:eastAsia="zh-CN"/>
        </w:rPr>
        <w:t>一般经常项目收支企业登记</w:t>
      </w:r>
      <w:r>
        <w:rPr>
          <w:rFonts w:ascii="Times New Roman" w:hAnsi="Times New Roman" w:eastAsia="仿宋_GB2312" w:cs="Times New Roman"/>
          <w:color w:val="auto"/>
          <w:sz w:val="30"/>
          <w:szCs w:val="30"/>
        </w:rPr>
        <w:t>”的申请和办理。</w:t>
      </w:r>
    </w:p>
    <w:p>
      <w:pPr>
        <w:adjustRightInd w:val="0"/>
        <w:snapToGri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三、设定依据</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一）《中华人民共和国外汇管理条例》（国务院令第532号）第十二条：“经常项目外汇收支应当具有真实、合法的交易基础。经营结汇、售汇业务的金融机构应当按照国务院外汇管理部门的规定，对交易单证的真实性及其与外汇收支的一致性进行合理审查。外汇管理机关有权对前款规定事项进行监督检查。”</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（二）《国务院对确需保留的行政审批项目设定行政许可的决定》。</w:t>
      </w:r>
    </w:p>
    <w:p>
      <w:pPr>
        <w:adjustRightInd w:val="0"/>
        <w:snapToGri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四、办理依据</w:t>
      </w:r>
    </w:p>
    <w:p>
      <w:pPr>
        <w:spacing w:beforeLines="0" w:afterLines="0"/>
        <w:jc w:val="left"/>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 xml:space="preserve">    </w:t>
      </w:r>
      <w:r>
        <w:rPr>
          <w:rFonts w:ascii="Times New Roman" w:hAnsi="Times New Roman" w:eastAsia="仿宋_GB2312" w:cs="Times New Roman"/>
          <w:color w:val="auto"/>
          <w:sz w:val="30"/>
          <w:szCs w:val="30"/>
        </w:rPr>
        <w:t>（一）</w:t>
      </w:r>
      <w:r>
        <w:rPr>
          <w:rFonts w:hint="default" w:ascii="Times New Roman" w:hAnsi="Times New Roman" w:eastAsia="仿宋_GB2312" w:cs="Times New Roman"/>
          <w:color w:val="auto"/>
          <w:sz w:val="30"/>
          <w:szCs w:val="30"/>
          <w:lang w:val="en-US" w:eastAsia="zh-CN"/>
        </w:rPr>
        <w:t>《经常项目外汇业务指引（2020年版）》（汇发〔2020〕14号文印发）第一条</w:t>
      </w:r>
      <w:r>
        <w:rPr>
          <w:rFonts w:hint="eastAsia" w:ascii="Times New Roman" w:hAnsi="Times New Roman" w:eastAsia="仿宋_GB2312" w:cs="Times New Roman"/>
          <w:color w:val="auto"/>
          <w:sz w:val="30"/>
          <w:szCs w:val="30"/>
          <w:lang w:val="en-US" w:eastAsia="zh-CN"/>
        </w:rPr>
        <w:t>“</w:t>
      </w:r>
      <w:r>
        <w:rPr>
          <w:rFonts w:hint="eastAsia" w:ascii="仿宋" w:hAnsi="仿宋" w:eastAsia="仿宋"/>
          <w:sz w:val="30"/>
        </w:rPr>
        <w:t>国家外汇管理局及其分支局（以下简称外汇局）实行“贸易外汇收支企业名录”（以下简称名录）登记管理，通过货物贸易外汇监测系统（以下简称货贸系统）发布名录。对于不在名录的企业，银行和支付机构原则上不得为其办理货物贸易外汇收支业务。</w:t>
      </w:r>
      <w:r>
        <w:rPr>
          <w:rFonts w:hint="eastAsia" w:ascii="Times New Roman" w:hAnsi="Times New Roman" w:eastAsia="仿宋_GB2312" w:cs="Times New Roman"/>
          <w:color w:val="auto"/>
          <w:sz w:val="30"/>
          <w:szCs w:val="30"/>
          <w:lang w:val="en-US" w:eastAsia="zh-CN"/>
        </w:rPr>
        <w:t>”</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（二）</w:t>
      </w:r>
      <w:r>
        <w:rPr>
          <w:rFonts w:hint="default" w:ascii="仿宋" w:hAnsi="仿宋" w:eastAsia="仿宋"/>
          <w:sz w:val="30"/>
          <w:lang w:val="en-US" w:eastAsia="zh-CN"/>
        </w:rPr>
        <w:t>《国家外汇管理局行政许可实施办法》（国家外汇管理局公告2021年第1号）</w:t>
      </w:r>
      <w:r>
        <w:rPr>
          <w:rFonts w:ascii="Times New Roman" w:hAnsi="Times New Roman" w:eastAsia="仿宋_GB2312" w:cs="Times New Roman"/>
          <w:color w:val="auto"/>
          <w:sz w:val="30"/>
          <w:szCs w:val="30"/>
        </w:rPr>
        <w:t>。</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五、受理机构</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ascii="Times New Roman" w:hAnsi="Times New Roman" w:eastAsia="仿宋_GB2312" w:cs="Times New Roman"/>
          <w:color w:val="auto"/>
          <w:sz w:val="30"/>
          <w:szCs w:val="30"/>
        </w:rPr>
        <w:t>申请人注册所在地国家外汇管理局分局。</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六、决定机构</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申请人注册所在地国家外汇管理局分局。</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七、审批数量</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无数量限制。</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八、办事条件</w:t>
      </w:r>
    </w:p>
    <w:p>
      <w:pPr>
        <w:adjustRightInd w:val="0"/>
        <w:snapToGrid w:val="0"/>
        <w:spacing w:line="360" w:lineRule="auto"/>
        <w:ind w:firstLine="600" w:firstLineChars="200"/>
        <w:rPr>
          <w:rFonts w:hint="default" w:ascii="Times New Roman" w:hAnsi="Times New Roman" w:eastAsia="仿宋_GB2312" w:cs="Times New Roman"/>
          <w:color w:val="auto"/>
          <w:sz w:val="30"/>
          <w:szCs w:val="30"/>
          <w:lang w:val="en-US" w:eastAsia="zh-CN"/>
        </w:rPr>
      </w:pPr>
      <w:r>
        <w:rPr>
          <w:rFonts w:ascii="Times New Roman" w:hAnsi="Times New Roman" w:eastAsia="仿宋_GB2312" w:cs="Times New Roman"/>
          <w:color w:val="auto"/>
          <w:sz w:val="30"/>
          <w:szCs w:val="30"/>
        </w:rPr>
        <w:t>（一）</w:t>
      </w:r>
      <w:bookmarkStart w:id="0" w:name="_Toc1971317738"/>
      <w:r>
        <w:rPr>
          <w:rFonts w:hint="default" w:ascii="Times New Roman" w:hAnsi="Times New Roman" w:eastAsia="仿宋_GB2312" w:cs="Times New Roman"/>
          <w:color w:val="auto"/>
          <w:sz w:val="30"/>
          <w:szCs w:val="30"/>
          <w:lang w:val="en-US" w:eastAsia="zh-CN"/>
        </w:rPr>
        <w:t>准予行政许可的条件</w:t>
      </w:r>
      <w:bookmarkEnd w:id="0"/>
    </w:p>
    <w:p>
      <w:pPr>
        <w:adjustRightInd w:val="0"/>
        <w:snapToGrid w:val="0"/>
        <w:spacing w:line="360" w:lineRule="auto"/>
        <w:ind w:firstLine="600" w:firstLineChars="200"/>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val="en-US" w:eastAsia="zh-CN"/>
        </w:rPr>
        <w:t>申请人为</w:t>
      </w:r>
      <w:r>
        <w:rPr>
          <w:rFonts w:hint="default" w:ascii="Times New Roman" w:hAnsi="Times New Roman" w:eastAsia="仿宋_GB2312" w:cs="Times New Roman"/>
          <w:color w:val="auto"/>
          <w:sz w:val="30"/>
          <w:szCs w:val="30"/>
          <w:lang w:eastAsia="zh-CN"/>
        </w:rPr>
        <w:t>企业或</w:t>
      </w:r>
      <w:r>
        <w:rPr>
          <w:rFonts w:hint="default" w:ascii="Times New Roman" w:hAnsi="Times New Roman" w:eastAsia="仿宋_GB2312" w:cs="Times New Roman"/>
          <w:color w:val="auto"/>
          <w:sz w:val="30"/>
          <w:szCs w:val="30"/>
        </w:rPr>
        <w:t>确有客观需要开展货物贸易外汇收支业务的其他境内机构或个人对外贸易经营者</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应具有真实货物贸易外汇收支业务需求。</w:t>
      </w:r>
    </w:p>
    <w:p>
      <w:pPr>
        <w:adjustRightInd w:val="0"/>
        <w:snapToGrid w:val="0"/>
        <w:spacing w:line="360" w:lineRule="auto"/>
        <w:ind w:firstLine="600" w:firstLineChars="200"/>
        <w:rPr>
          <w:rFonts w:hint="default" w:ascii="Times New Roman" w:hAnsi="Times New Roman" w:eastAsia="仿宋_GB2312" w:cs="Times New Roman"/>
          <w:color w:val="auto"/>
          <w:sz w:val="30"/>
          <w:szCs w:val="30"/>
          <w:lang w:val="en-US" w:eastAsia="zh-CN"/>
        </w:rPr>
      </w:pPr>
      <w:bookmarkStart w:id="1" w:name="_Toc66587652"/>
      <w:r>
        <w:rPr>
          <w:rFonts w:hint="eastAsia" w:ascii="Times New Roman" w:hAnsi="Times New Roman" w:eastAsia="仿宋_GB2312" w:cs="Times New Roman"/>
          <w:color w:val="auto"/>
          <w:sz w:val="30"/>
          <w:szCs w:val="30"/>
          <w:lang w:val="en-US" w:eastAsia="zh-CN"/>
        </w:rPr>
        <w:t>（二）</w:t>
      </w:r>
      <w:r>
        <w:rPr>
          <w:rFonts w:hint="default" w:ascii="Times New Roman" w:hAnsi="Times New Roman" w:eastAsia="仿宋_GB2312" w:cs="Times New Roman"/>
          <w:color w:val="auto"/>
          <w:sz w:val="30"/>
          <w:szCs w:val="30"/>
          <w:lang w:val="en-US" w:eastAsia="zh-CN"/>
        </w:rPr>
        <w:t>规定行政许可条件的依据</w:t>
      </w:r>
      <w:bookmarkEnd w:id="1"/>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《经常项目外汇业务指引（2020年版）》（汇发〔2020〕14号文印发）第二条具有真实货物贸易外汇收支业务需求的企业，凭《贸易外汇收支企业名录登记申请表》、</w:t>
      </w:r>
      <w:r>
        <w:rPr>
          <w:rFonts w:hint="default" w:ascii="Times New Roman" w:hAnsi="Times New Roman" w:eastAsia="仿宋_GB2312" w:cs="Times New Roman"/>
          <w:color w:val="auto"/>
          <w:sz w:val="30"/>
          <w:szCs w:val="30"/>
          <w:lang w:eastAsia="zh-CN"/>
        </w:rPr>
        <w:t>营业执照（统一社会信用代码证）</w:t>
      </w:r>
      <w:r>
        <w:rPr>
          <w:rFonts w:hint="default" w:ascii="Times New Roman" w:hAnsi="Times New Roman" w:eastAsia="仿宋_GB2312" w:cs="Times New Roman"/>
          <w:color w:val="auto"/>
          <w:sz w:val="30"/>
          <w:szCs w:val="30"/>
          <w:lang w:val="en-US" w:eastAsia="zh-CN"/>
        </w:rPr>
        <w:t>向所在地外汇局申请名录登记。其他境内机构或个人对外贸易经营者确有客观需要开展货物贸易外汇收支业务的，可参照企业的有关规定办理。</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黑体" w:cs="Times New Roman"/>
          <w:color w:val="auto"/>
          <w:sz w:val="30"/>
          <w:szCs w:val="30"/>
        </w:rPr>
        <w:t>九、申请材料</w:t>
      </w:r>
    </w:p>
    <w:p>
      <w:pPr>
        <w:adjustRightInd w:val="0"/>
        <w:snapToGrid w:val="0"/>
        <w:spacing w:line="360" w:lineRule="auto"/>
        <w:ind w:firstLine="600" w:firstLineChars="200"/>
        <w:rPr>
          <w:rFonts w:hint="default" w:ascii="Times New Roman" w:hAnsi="Times New Roman" w:eastAsia="仿宋_GB2312" w:cs="Times New Roman"/>
          <w:color w:val="auto"/>
          <w:sz w:val="30"/>
          <w:szCs w:val="30"/>
          <w:lang w:val="en-US" w:eastAsia="zh-CN"/>
        </w:rPr>
      </w:pPr>
      <w:bookmarkStart w:id="2" w:name="_Toc1006485955"/>
      <w:r>
        <w:rPr>
          <w:rFonts w:hint="eastAsia" w:ascii="Times New Roman" w:hAnsi="Times New Roman" w:eastAsia="仿宋_GB2312" w:cs="Times New Roman"/>
          <w:color w:val="auto"/>
          <w:sz w:val="30"/>
          <w:szCs w:val="30"/>
          <w:lang w:val="en-US" w:eastAsia="zh-CN"/>
        </w:rPr>
        <w:t>（一）</w:t>
      </w:r>
      <w:r>
        <w:rPr>
          <w:rFonts w:hint="default" w:ascii="Times New Roman" w:hAnsi="Times New Roman" w:eastAsia="仿宋_GB2312" w:cs="Times New Roman"/>
          <w:color w:val="auto"/>
          <w:sz w:val="30"/>
          <w:szCs w:val="30"/>
          <w:lang w:val="en-US" w:eastAsia="zh-CN"/>
        </w:rPr>
        <w:t>申请材料名称</w:t>
      </w:r>
      <w:bookmarkEnd w:id="2"/>
    </w:p>
    <w:p>
      <w:pPr>
        <w:adjustRightInd w:val="0"/>
        <w:snapToGrid w:val="0"/>
        <w:spacing w:line="360" w:lineRule="auto"/>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val="en-US" w:eastAsia="zh-CN"/>
        </w:rPr>
        <w:t>法定代表人签字并加盖公章的《贸易外汇收支企业名录登记申请表》原件1份。</w:t>
      </w:r>
    </w:p>
    <w:p>
      <w:pPr>
        <w:adjustRightInd w:val="0"/>
        <w:snapToGrid w:val="0"/>
        <w:spacing w:line="360" w:lineRule="auto"/>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营业执照（统一社会信用代码证）原件或加盖公章的复印件1份。</w:t>
      </w:r>
    </w:p>
    <w:p>
      <w:pPr>
        <w:adjustRightInd w:val="0"/>
        <w:snapToGrid w:val="0"/>
        <w:spacing w:line="360" w:lineRule="auto"/>
        <w:ind w:firstLine="600" w:firstLineChars="200"/>
        <w:rPr>
          <w:rFonts w:hint="default" w:ascii="Times New Roman" w:hAnsi="Times New Roman" w:eastAsia="仿宋_GB2312" w:cs="Times New Roman"/>
          <w:color w:val="auto"/>
          <w:sz w:val="30"/>
          <w:szCs w:val="30"/>
          <w:lang w:val="en-US" w:eastAsia="zh-CN"/>
        </w:rPr>
      </w:pPr>
      <w:bookmarkStart w:id="3" w:name="_Toc530255480"/>
      <w:r>
        <w:rPr>
          <w:rFonts w:hint="eastAsia" w:ascii="Times New Roman" w:hAnsi="Times New Roman" w:eastAsia="仿宋_GB2312" w:cs="Times New Roman"/>
          <w:color w:val="auto"/>
          <w:sz w:val="30"/>
          <w:szCs w:val="30"/>
          <w:lang w:val="en-US" w:eastAsia="zh-CN"/>
        </w:rPr>
        <w:t>（二）</w:t>
      </w:r>
      <w:r>
        <w:rPr>
          <w:rFonts w:hint="default" w:ascii="Times New Roman" w:hAnsi="Times New Roman" w:eastAsia="仿宋_GB2312" w:cs="Times New Roman"/>
          <w:color w:val="auto"/>
          <w:sz w:val="30"/>
          <w:szCs w:val="30"/>
          <w:lang w:val="en-US" w:eastAsia="zh-CN"/>
        </w:rPr>
        <w:t>规定申请材料的依据</w:t>
      </w:r>
      <w:bookmarkEnd w:id="3"/>
    </w:p>
    <w:p>
      <w:pPr>
        <w:adjustRightInd w:val="0"/>
        <w:snapToGrid w:val="0"/>
        <w:spacing w:line="360" w:lineRule="auto"/>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《经常项目外汇业务指引（2020年版）》（汇发〔2020〕14号文印发）第二条</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en-US" w:eastAsia="zh-CN"/>
        </w:rPr>
        <w:t>具有真实货物贸易外汇收支业务需求的企业，凭《贸易外汇收支企业名录登记申请表》、营业执照（统一社会信用代码证）向所在地外汇局申请名录登记……。</w:t>
      </w:r>
      <w:r>
        <w:rPr>
          <w:rFonts w:hint="eastAsia" w:ascii="Times New Roman" w:hAnsi="Times New Roman" w:eastAsia="仿宋_GB2312" w:cs="Times New Roman"/>
          <w:color w:val="auto"/>
          <w:sz w:val="30"/>
          <w:szCs w:val="30"/>
          <w:lang w:val="en-US" w:eastAsia="zh-CN"/>
        </w:rPr>
        <w:t>”</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十、申请接受</w:t>
      </w:r>
    </w:p>
    <w:p>
      <w:pPr>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申请人可通过国家外汇管理局分局</w:t>
      </w:r>
      <w:bookmarkStart w:id="4" w:name="_GoBack"/>
      <w:bookmarkEnd w:id="4"/>
      <w:r>
        <w:rPr>
          <w:rFonts w:ascii="Times New Roman" w:hAnsi="Times New Roman" w:eastAsia="仿宋_GB2312" w:cs="Times New Roman"/>
          <w:color w:val="auto"/>
          <w:sz w:val="30"/>
          <w:szCs w:val="30"/>
        </w:rPr>
        <w:t>提交申请。</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十一、基本办理流程</w:t>
      </w:r>
    </w:p>
    <w:p>
      <w:pPr>
        <w:tabs>
          <w:tab w:val="left" w:pos="615"/>
        </w:tabs>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ab/>
      </w:r>
      <w:r>
        <w:rPr>
          <w:rFonts w:ascii="Times New Roman" w:hAnsi="Times New Roman" w:eastAsia="仿宋_GB2312" w:cs="Times New Roman"/>
          <w:color w:val="auto"/>
          <w:sz w:val="30"/>
          <w:szCs w:val="30"/>
        </w:rPr>
        <w:t>（一）申请人提交申请；</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 xml:space="preserve">（二）决定是否予以受理； </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 xml:space="preserve">（三）不属于本机构受理范围的，出具不予受理行政许可通知书； </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（四）属于本机构受理范围的，审核申请材料是否齐全或符合法定形式；材料不全或不符合法定形式的，一次性告知补正材料，并出具行政许可补正通知书；</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（五）材料齐全的，依法予以受理，并出具行政许可受理通知书；</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（六）不予许可的，做出不予许可的行政许可书面决定并说明理由；予以许可的，出具行政许可决定书。</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其中：支付机构及审核交易电子信息的银行相关业务需要现场办理，不支持政务服务网上办理平台线上办理。</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十二、办理方式</w:t>
      </w:r>
    </w:p>
    <w:p>
      <w:pPr>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一般程序：申请、受理、审查、决定。</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十三、审批时限</w:t>
      </w:r>
    </w:p>
    <w:p>
      <w:pPr>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20个工作日。</w:t>
      </w:r>
    </w:p>
    <w:p>
      <w:pPr>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十四、审批收费依据及标准</w:t>
      </w:r>
    </w:p>
    <w:p>
      <w:pPr>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不收费。</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十五、审批结果</w:t>
      </w:r>
    </w:p>
    <w:p>
      <w:pPr>
        <w:ind w:firstLine="6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w:t>
      </w:r>
      <w:r>
        <w:rPr>
          <w:rFonts w:ascii="Times New Roman" w:hAnsi="Times New Roman" w:eastAsia="仿宋_GB2312" w:cs="Times New Roman"/>
          <w:color w:val="auto"/>
          <w:sz w:val="30"/>
          <w:szCs w:val="30"/>
        </w:rPr>
        <w:t>出具行政许可决定书</w:t>
      </w:r>
      <w:r>
        <w:rPr>
          <w:rFonts w:hint="eastAsia" w:ascii="Times New Roman" w:hAnsi="Times New Roman" w:eastAsia="仿宋_GB2312" w:cs="Times New Roman"/>
          <w:color w:val="auto"/>
          <w:sz w:val="30"/>
          <w:szCs w:val="30"/>
          <w:lang w:eastAsia="zh-CN"/>
        </w:rPr>
        <w:t>》</w:t>
      </w:r>
      <w:r>
        <w:rPr>
          <w:rFonts w:ascii="Times New Roman" w:hAnsi="Times New Roman" w:eastAsia="仿宋_GB2312" w:cs="Times New Roman"/>
          <w:color w:val="auto"/>
          <w:sz w:val="30"/>
          <w:szCs w:val="30"/>
        </w:rPr>
        <w:t>。</w:t>
      </w:r>
    </w:p>
    <w:p>
      <w:pPr>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十六、结果送达</w:t>
      </w:r>
    </w:p>
    <w:p>
      <w:pPr>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通过政务服务网上办理平台或现场告知申请企业，并通过现场领取或邮寄等方式将结果送达。通过正式书面文件告知获准登记的支付机构及审核交易电子信息的银行。</w:t>
      </w:r>
    </w:p>
    <w:p>
      <w:pPr>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十七、申请人权利和义务</w:t>
      </w:r>
    </w:p>
    <w:p>
      <w:pPr>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申请人有权依法提出行政审批申请，依法进行投诉、举报、复议、诉讼等。申请人有义务保证申请材料完整、真实、准确，获批后合法合规办理相关业务。</w:t>
      </w:r>
    </w:p>
    <w:p>
      <w:pPr>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十八、咨询途径、监督和投诉、公开查询等由所在地分局办理</w:t>
      </w:r>
    </w:p>
    <w:p>
      <w:pPr>
        <w:adjustRightInd w:val="0"/>
        <w:snapToGrid w:val="0"/>
        <w:spacing w:line="360" w:lineRule="auto"/>
        <w:ind w:firstLine="601"/>
        <w:rPr>
          <w:rFonts w:hint="eastAsia"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1.国家外汇管理局广西壮族自治区分局</w:t>
      </w:r>
    </w:p>
    <w:p>
      <w:pPr>
        <w:adjustRightInd w:val="0"/>
        <w:snapToGrid w:val="0"/>
        <w:spacing w:line="360" w:lineRule="auto"/>
        <w:ind w:firstLine="601"/>
        <w:rPr>
          <w:rFonts w:hint="eastAsia"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（1）咨询途径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现场咨询：广西南宁市青秀区滨湖路58号中国人民银行广西壮族自治区分行一楼8号柜台。</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电话咨询：0771-6111201</w:t>
      </w:r>
    </w:p>
    <w:p>
      <w:pPr>
        <w:adjustRightInd w:val="0"/>
        <w:snapToGrid w:val="0"/>
        <w:spacing w:line="360" w:lineRule="auto"/>
        <w:ind w:firstLine="601"/>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网站咨询：</w:t>
      </w:r>
      <w:r>
        <w:rPr>
          <w:rFonts w:hint="eastAsia" w:ascii="Times New Roman" w:hAnsi="Times New Roman" w:eastAsia="仿宋_GB2312" w:cs="Times New Roman"/>
          <w:color w:val="auto"/>
          <w:sz w:val="30"/>
          <w:szCs w:val="30"/>
          <w:lang w:eastAsia="zh-CN"/>
        </w:rPr>
        <w:t>国家外汇管理局广西壮族自治区分局官方网站（www.safe.gov.cn</w:t>
      </w:r>
      <w:r>
        <w:rPr>
          <w:rFonts w:hint="eastAsia" w:ascii="Times New Roman" w:hAnsi="Times New Roman" w:eastAsia="仿宋_GB2312" w:cs="Times New Roman"/>
          <w:color w:val="auto"/>
          <w:sz w:val="30"/>
          <w:szCs w:val="30"/>
          <w:lang w:val="en-US" w:eastAsia="zh-CN"/>
        </w:rPr>
        <w:t>/guangxi/）</w:t>
      </w:r>
      <w:r>
        <w:rPr>
          <w:rFonts w:hint="eastAsia" w:ascii="Times New Roman" w:hAnsi="Times New Roman" w:eastAsia="仿宋_GB2312" w:cs="Times New Roman"/>
          <w:color w:val="auto"/>
          <w:sz w:val="30"/>
          <w:szCs w:val="30"/>
          <w:lang w:eastAsia="zh-CN"/>
        </w:rPr>
        <w:t>咨询反馈栏目。</w:t>
      </w:r>
    </w:p>
    <w:p>
      <w:pPr>
        <w:adjustRightInd w:val="0"/>
        <w:snapToGrid w:val="0"/>
        <w:spacing w:line="360" w:lineRule="auto"/>
        <w:ind w:firstLine="601"/>
        <w:rPr>
          <w:rFonts w:hint="eastAsia"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（2）监督和投诉途径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电话投诉：0771-6111357</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电子邮箱投诉：gxwgwg@163.com</w:t>
      </w:r>
    </w:p>
    <w:p>
      <w:pPr>
        <w:adjustRightInd w:val="0"/>
        <w:snapToGrid w:val="0"/>
        <w:spacing w:line="360" w:lineRule="auto"/>
        <w:ind w:firstLine="601"/>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网站投诉：</w:t>
      </w:r>
      <w:r>
        <w:rPr>
          <w:rFonts w:hint="eastAsia" w:ascii="Times New Roman" w:hAnsi="Times New Roman" w:eastAsia="仿宋_GB2312" w:cs="Times New Roman"/>
          <w:color w:val="auto"/>
          <w:sz w:val="30"/>
          <w:szCs w:val="30"/>
          <w:lang w:eastAsia="zh-CN"/>
        </w:rPr>
        <w:t>国家外汇管理局广西壮族自治区分局官方网站（www.safe.gov.cn</w:t>
      </w:r>
      <w:r>
        <w:rPr>
          <w:rFonts w:hint="eastAsia" w:ascii="Times New Roman" w:hAnsi="Times New Roman" w:eastAsia="仿宋_GB2312" w:cs="Times New Roman"/>
          <w:color w:val="auto"/>
          <w:sz w:val="30"/>
          <w:szCs w:val="30"/>
          <w:lang w:val="en-US" w:eastAsia="zh-CN"/>
        </w:rPr>
        <w:t>/guangxi/）</w:t>
      </w:r>
      <w:r>
        <w:rPr>
          <w:rFonts w:hint="eastAsia" w:ascii="Times New Roman" w:hAnsi="Times New Roman" w:eastAsia="仿宋_GB2312" w:cs="Times New Roman"/>
          <w:color w:val="auto"/>
          <w:sz w:val="30"/>
          <w:szCs w:val="30"/>
          <w:lang w:eastAsia="zh-CN"/>
        </w:rPr>
        <w:t>咨询反馈栏目。</w:t>
      </w:r>
    </w:p>
    <w:p>
      <w:pPr>
        <w:adjustRightInd w:val="0"/>
        <w:snapToGrid w:val="0"/>
        <w:spacing w:line="360" w:lineRule="auto"/>
        <w:ind w:firstLine="601"/>
        <w:rPr>
          <w:rFonts w:hint="eastAsia"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（3）</w:t>
      </w:r>
      <w:r>
        <w:rPr>
          <w:rFonts w:hint="eastAsia" w:ascii="Times New Roman" w:hAnsi="Times New Roman" w:eastAsia="仿宋_GB2312" w:cs="Times New Roman"/>
          <w:b/>
          <w:bCs/>
          <w:color w:val="auto"/>
          <w:sz w:val="30"/>
          <w:szCs w:val="30"/>
          <w:lang w:eastAsia="zh-CN"/>
        </w:rPr>
        <w:t>公开</w:t>
      </w:r>
      <w:r>
        <w:rPr>
          <w:rFonts w:hint="eastAsia" w:ascii="Times New Roman" w:hAnsi="Times New Roman" w:eastAsia="仿宋_GB2312" w:cs="Times New Roman"/>
          <w:b/>
          <w:bCs/>
          <w:color w:val="auto"/>
          <w:sz w:val="30"/>
          <w:szCs w:val="30"/>
        </w:rPr>
        <w:t>查询</w:t>
      </w:r>
      <w:r>
        <w:rPr>
          <w:rFonts w:hint="eastAsia" w:ascii="Times New Roman" w:hAnsi="Times New Roman" w:eastAsia="仿宋_GB2312" w:cs="Times New Roman"/>
          <w:b/>
          <w:bCs/>
          <w:color w:val="auto"/>
          <w:sz w:val="30"/>
          <w:szCs w:val="30"/>
          <w:lang w:eastAsia="zh-CN"/>
        </w:rPr>
        <w:t>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现场查询：广西南宁市青秀区滨湖路58号中国人民银行广西壮族自治区分行一楼8号柜台。</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电话查询：0771-6111201</w:t>
      </w:r>
    </w:p>
    <w:p>
      <w:pPr>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十九、事项审查类型</w:t>
      </w:r>
    </w:p>
    <w:p>
      <w:pPr>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前审后批。</w:t>
      </w:r>
    </w:p>
    <w:p>
      <w:pPr>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二十、办公地址和时间</w:t>
      </w:r>
    </w:p>
    <w:p>
      <w:pPr>
        <w:adjustRightInd w:val="0"/>
        <w:snapToGrid w:val="0"/>
        <w:spacing w:line="360" w:lineRule="auto"/>
        <w:ind w:firstLine="602" w:firstLineChars="200"/>
        <w:rPr>
          <w:rFonts w:hint="eastAsia" w:ascii="仿宋_GB2312" w:hAnsi="Times New Roman" w:eastAsia="仿宋_GB2312"/>
          <w:b/>
          <w:bCs/>
          <w:color w:val="auto"/>
          <w:sz w:val="30"/>
          <w:szCs w:val="30"/>
        </w:rPr>
      </w:pPr>
      <w:r>
        <w:rPr>
          <w:rFonts w:hint="eastAsia" w:ascii="仿宋_GB2312" w:hAnsi="Times New Roman" w:eastAsia="仿宋_GB2312"/>
          <w:b/>
          <w:bCs/>
          <w:color w:val="auto"/>
          <w:sz w:val="30"/>
          <w:szCs w:val="30"/>
          <w:lang w:val="en-US" w:eastAsia="zh-CN"/>
        </w:rPr>
        <w:t>1.</w:t>
      </w:r>
      <w:r>
        <w:rPr>
          <w:rFonts w:hint="eastAsia" w:ascii="仿宋_GB2312" w:hAnsi="Times New Roman" w:eastAsia="仿宋_GB2312"/>
          <w:b/>
          <w:bCs/>
          <w:color w:val="auto"/>
          <w:sz w:val="30"/>
          <w:szCs w:val="30"/>
        </w:rPr>
        <w:t>国家外汇管理局广西壮族自治区分局</w:t>
      </w:r>
    </w:p>
    <w:p>
      <w:pPr>
        <w:adjustRightInd w:val="0"/>
        <w:snapToGrid w:val="0"/>
        <w:spacing w:line="360" w:lineRule="auto"/>
        <w:rPr>
          <w:rFonts w:hint="eastAsia" w:ascii="仿宋_GB2312" w:hAnsi="Times New Roman" w:eastAsia="仿宋_GB2312"/>
          <w:color w:val="auto"/>
          <w:sz w:val="30"/>
          <w:szCs w:val="30"/>
        </w:rPr>
      </w:pPr>
      <w:r>
        <w:rPr>
          <w:rFonts w:hint="eastAsia" w:ascii="仿宋_GB2312" w:hAnsi="Times New Roman" w:eastAsia="仿宋_GB2312"/>
          <w:color w:val="auto"/>
          <w:sz w:val="30"/>
          <w:szCs w:val="30"/>
          <w:lang w:val="en-US" w:eastAsia="zh-CN"/>
        </w:rPr>
        <w:t xml:space="preserve">    办公</w:t>
      </w:r>
      <w:r>
        <w:rPr>
          <w:rFonts w:hint="eastAsia" w:ascii="仿宋_GB2312" w:hAnsi="Times New Roman" w:eastAsia="仿宋_GB2312"/>
          <w:color w:val="auto"/>
          <w:sz w:val="30"/>
          <w:szCs w:val="30"/>
        </w:rPr>
        <w:t>地址：广西南宁市青秀区滨湖路58号</w:t>
      </w:r>
      <w:r>
        <w:rPr>
          <w:rFonts w:hint="eastAsia" w:ascii="仿宋_GB2312" w:hAnsi="Times New Roman" w:eastAsia="仿宋_GB2312"/>
          <w:color w:val="auto"/>
          <w:sz w:val="30"/>
          <w:szCs w:val="30"/>
          <w:lang w:eastAsia="zh-CN"/>
        </w:rPr>
        <w:t>中国人民银行广西壮族自治区分行</w:t>
      </w:r>
      <w:r>
        <w:rPr>
          <w:rFonts w:hint="eastAsia" w:ascii="Times New Roman" w:hAnsi="Times New Roman" w:eastAsia="仿宋_GB2312" w:cs="Times New Roman"/>
          <w:color w:val="auto"/>
          <w:sz w:val="30"/>
          <w:szCs w:val="30"/>
          <w:lang w:val="en-US" w:eastAsia="zh-CN"/>
        </w:rPr>
        <w:t>一楼8号柜台。</w:t>
      </w:r>
    </w:p>
    <w:p>
      <w:pPr>
        <w:adjustRightInd w:val="0"/>
        <w:snapToGrid w:val="0"/>
        <w:spacing w:line="360" w:lineRule="auto"/>
        <w:ind w:firstLine="600" w:firstLineChars="200"/>
        <w:rPr>
          <w:rFonts w:hint="eastAsia" w:ascii="仿宋_GB2312" w:hAnsi="Times New Roman" w:eastAsia="仿宋_GB2312"/>
          <w:color w:val="auto"/>
          <w:sz w:val="30"/>
          <w:szCs w:val="30"/>
        </w:rPr>
      </w:pPr>
      <w:r>
        <w:rPr>
          <w:rFonts w:hint="eastAsia" w:ascii="仿宋_GB2312" w:hAnsi="Times New Roman" w:eastAsia="仿宋_GB2312"/>
          <w:color w:val="auto"/>
          <w:sz w:val="30"/>
          <w:szCs w:val="30"/>
          <w:lang w:eastAsia="zh-CN"/>
        </w:rPr>
        <w:t>办公</w:t>
      </w:r>
      <w:r>
        <w:rPr>
          <w:rFonts w:hint="eastAsia" w:ascii="仿宋_GB2312" w:hAnsi="Times New Roman" w:eastAsia="仿宋_GB2312"/>
          <w:color w:val="auto"/>
          <w:sz w:val="30"/>
          <w:szCs w:val="30"/>
        </w:rPr>
        <w:t>时间：工作日，上午：08:30-12:00，下午：</w:t>
      </w:r>
      <w:r>
        <w:rPr>
          <w:rFonts w:hint="eastAsia" w:ascii="仿宋_GB2312" w:hAnsi="Times New Roman" w:eastAsia="仿宋_GB2312"/>
          <w:color w:val="auto"/>
          <w:sz w:val="30"/>
          <w:szCs w:val="30"/>
          <w:lang w:val="en-US" w:eastAsia="zh-CN"/>
        </w:rPr>
        <w:t>14</w:t>
      </w:r>
      <w:r>
        <w:rPr>
          <w:rFonts w:hint="eastAsia" w:ascii="仿宋_GB2312" w:hAnsi="Times New Roman" w:eastAsia="仿宋_GB2312"/>
          <w:color w:val="auto"/>
          <w:sz w:val="30"/>
          <w:szCs w:val="30"/>
        </w:rPr>
        <w:t>:30-</w:t>
      </w:r>
      <w:r>
        <w:rPr>
          <w:rFonts w:hint="eastAsia" w:ascii="仿宋_GB2312" w:hAnsi="Times New Roman" w:eastAsia="仿宋_GB2312"/>
          <w:color w:val="auto"/>
          <w:sz w:val="30"/>
          <w:szCs w:val="30"/>
          <w:lang w:val="en-US" w:eastAsia="zh-CN"/>
        </w:rPr>
        <w:t>17</w:t>
      </w:r>
      <w:r>
        <w:rPr>
          <w:rFonts w:hint="eastAsia" w:ascii="仿宋_GB2312" w:hAnsi="Times New Roman" w:eastAsia="仿宋_GB2312"/>
          <w:color w:val="auto"/>
          <w:sz w:val="30"/>
          <w:szCs w:val="30"/>
        </w:rPr>
        <w:t xml:space="preserve">:30。 </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二十一、常见问题解答及错误示例</w:t>
      </w:r>
    </w:p>
    <w:p>
      <w:pPr>
        <w:ind w:firstLine="600" w:firstLineChars="200"/>
        <w:rPr>
          <w:rFonts w:ascii="Times New Roman" w:hAnsi="Times New Roman" w:eastAsia="仿宋_GB2312" w:cs="Times New Roman"/>
          <w:color w:val="auto"/>
          <w:kern w:val="0"/>
          <w:sz w:val="30"/>
          <w:szCs w:val="30"/>
        </w:rPr>
      </w:pPr>
      <w:r>
        <w:rPr>
          <w:rFonts w:ascii="Times New Roman" w:hAnsi="Times New Roman" w:eastAsia="仿宋_GB2312" w:cs="Times New Roman"/>
          <w:color w:val="auto"/>
          <w:kern w:val="0"/>
          <w:sz w:val="30"/>
          <w:szCs w:val="30"/>
        </w:rPr>
        <w:t>1.企业</w:t>
      </w:r>
      <w:r>
        <w:rPr>
          <w:rFonts w:hint="eastAsia" w:ascii="Times New Roman" w:hAnsi="Times New Roman" w:eastAsia="仿宋_GB2312" w:cs="Times New Roman"/>
          <w:color w:val="auto"/>
          <w:kern w:val="0"/>
          <w:sz w:val="30"/>
          <w:szCs w:val="30"/>
          <w:lang w:eastAsia="zh-CN"/>
        </w:rPr>
        <w:t>可通过哪些方式</w:t>
      </w:r>
      <w:r>
        <w:rPr>
          <w:rFonts w:ascii="Times New Roman" w:hAnsi="Times New Roman" w:eastAsia="仿宋_GB2312" w:cs="Times New Roman"/>
          <w:color w:val="auto"/>
          <w:kern w:val="0"/>
          <w:sz w:val="30"/>
          <w:szCs w:val="30"/>
        </w:rPr>
        <w:t>办理</w:t>
      </w:r>
      <w:r>
        <w:rPr>
          <w:rFonts w:hint="default" w:ascii="Times New Roman" w:hAnsi="Times New Roman" w:eastAsia="仿宋_GB2312" w:cs="Times New Roman"/>
          <w:color w:val="auto"/>
          <w:sz w:val="30"/>
          <w:szCs w:val="30"/>
          <w:highlight w:val="none"/>
          <w:lang w:val="en-US" w:eastAsia="zh-CN"/>
        </w:rPr>
        <w:t>经常项目收支企业登记</w:t>
      </w:r>
      <w:r>
        <w:rPr>
          <w:rFonts w:ascii="Times New Roman" w:hAnsi="Times New Roman" w:eastAsia="仿宋_GB2312" w:cs="Times New Roman"/>
          <w:color w:val="auto"/>
          <w:kern w:val="0"/>
          <w:sz w:val="30"/>
          <w:szCs w:val="30"/>
        </w:rPr>
        <w:t>？</w:t>
      </w:r>
    </w:p>
    <w:p>
      <w:pPr>
        <w:widowControl/>
        <w:spacing w:line="384" w:lineRule="auto"/>
        <w:ind w:firstLine="600" w:firstLineChars="200"/>
        <w:jc w:val="left"/>
        <w:rPr>
          <w:rFonts w:ascii="Times New Roman" w:hAnsi="Times New Roman" w:eastAsia="仿宋_GB2312" w:cs="Times New Roman"/>
          <w:color w:val="auto"/>
          <w:kern w:val="0"/>
          <w:sz w:val="30"/>
          <w:szCs w:val="30"/>
        </w:rPr>
      </w:pPr>
      <w:r>
        <w:rPr>
          <w:rFonts w:ascii="Times New Roman" w:hAnsi="Times New Roman" w:eastAsia="仿宋_GB2312" w:cs="Times New Roman"/>
          <w:color w:val="auto"/>
          <w:kern w:val="0"/>
          <w:sz w:val="30"/>
          <w:szCs w:val="30"/>
        </w:rPr>
        <w:t>企业</w:t>
      </w:r>
      <w:r>
        <w:rPr>
          <w:rFonts w:hint="eastAsia" w:ascii="Times New Roman" w:hAnsi="Times New Roman" w:eastAsia="仿宋_GB2312" w:cs="Times New Roman"/>
          <w:color w:val="auto"/>
          <w:kern w:val="0"/>
          <w:sz w:val="30"/>
          <w:szCs w:val="30"/>
          <w:lang w:eastAsia="zh-CN"/>
        </w:rPr>
        <w:t>可到所在地外汇管理局现场</w:t>
      </w:r>
      <w:r>
        <w:rPr>
          <w:rFonts w:ascii="Times New Roman" w:hAnsi="Times New Roman" w:eastAsia="仿宋_GB2312" w:cs="Times New Roman"/>
          <w:color w:val="auto"/>
          <w:kern w:val="0"/>
          <w:sz w:val="30"/>
          <w:szCs w:val="30"/>
        </w:rPr>
        <w:t>办理</w:t>
      </w:r>
      <w:r>
        <w:rPr>
          <w:rFonts w:hint="default" w:ascii="Times New Roman" w:hAnsi="Times New Roman" w:eastAsia="仿宋_GB2312" w:cs="Times New Roman"/>
          <w:color w:val="auto"/>
          <w:sz w:val="30"/>
          <w:szCs w:val="30"/>
          <w:highlight w:val="none"/>
          <w:lang w:val="en-US" w:eastAsia="zh-CN"/>
        </w:rPr>
        <w:t>经常项目收支企业登记</w:t>
      </w:r>
      <w:r>
        <w:rPr>
          <w:rFonts w:ascii="Times New Roman" w:hAnsi="Times New Roman" w:eastAsia="仿宋_GB2312" w:cs="Times New Roman"/>
          <w:color w:val="auto"/>
          <w:kern w:val="0"/>
          <w:sz w:val="30"/>
          <w:szCs w:val="30"/>
        </w:rPr>
        <w:t>，</w:t>
      </w:r>
      <w:r>
        <w:rPr>
          <w:rFonts w:hint="eastAsia" w:ascii="Times New Roman" w:hAnsi="Times New Roman" w:eastAsia="仿宋_GB2312" w:cs="Times New Roman"/>
          <w:color w:val="auto"/>
          <w:kern w:val="0"/>
          <w:sz w:val="30"/>
          <w:szCs w:val="30"/>
          <w:lang w:eastAsia="zh-CN"/>
        </w:rPr>
        <w:t>或登录国家外汇管理局数字外管平台（</w:t>
      </w:r>
      <w:r>
        <w:rPr>
          <w:rFonts w:hint="eastAsia" w:ascii="Times New Roman" w:hAnsi="Times New Roman" w:eastAsia="仿宋_GB2312" w:cs="Times New Roman"/>
          <w:color w:val="auto"/>
          <w:kern w:val="0"/>
          <w:sz w:val="30"/>
          <w:szCs w:val="30"/>
          <w:lang w:val="en-US" w:eastAsia="zh-CN"/>
        </w:rPr>
        <w:t>http://zwfw.safe.gov.cn/asone</w:t>
      </w:r>
      <w:r>
        <w:rPr>
          <w:rFonts w:hint="eastAsia" w:ascii="Times New Roman" w:hAnsi="Times New Roman" w:eastAsia="仿宋_GB2312" w:cs="Times New Roman"/>
          <w:color w:val="auto"/>
          <w:kern w:val="0"/>
          <w:sz w:val="30"/>
          <w:szCs w:val="30"/>
          <w:lang w:eastAsia="zh-CN"/>
        </w:rPr>
        <w:t>）进行网上</w:t>
      </w:r>
      <w:r>
        <w:rPr>
          <w:rFonts w:ascii="Times New Roman" w:hAnsi="Times New Roman" w:eastAsia="仿宋_GB2312" w:cs="Times New Roman"/>
          <w:color w:val="auto"/>
          <w:kern w:val="0"/>
          <w:sz w:val="30"/>
          <w:szCs w:val="30"/>
        </w:rPr>
        <w:t>办理。</w:t>
      </w:r>
    </w:p>
    <w:p>
      <w:pPr>
        <w:widowControl/>
        <w:spacing w:line="384" w:lineRule="auto"/>
        <w:ind w:firstLine="600" w:firstLineChars="200"/>
        <w:jc w:val="left"/>
        <w:rPr>
          <w:rFonts w:ascii="Times New Roman" w:hAnsi="Times New Roman" w:eastAsia="仿宋_GB2312" w:cs="Times New Roman"/>
          <w:color w:val="auto"/>
          <w:kern w:val="0"/>
          <w:sz w:val="30"/>
          <w:szCs w:val="30"/>
        </w:rPr>
      </w:pPr>
      <w:r>
        <w:rPr>
          <w:rFonts w:ascii="Times New Roman" w:hAnsi="Times New Roman" w:eastAsia="仿宋_GB2312" w:cs="Times New Roman"/>
          <w:color w:val="auto"/>
          <w:sz w:val="30"/>
          <w:szCs w:val="30"/>
        </w:rPr>
        <w:t>2</w:t>
      </w:r>
      <w:r>
        <w:rPr>
          <w:rFonts w:ascii="Times New Roman" w:hAnsi="Times New Roman" w:eastAsia="仿宋_GB2312" w:cs="Times New Roman"/>
          <w:color w:val="auto"/>
          <w:kern w:val="0"/>
          <w:sz w:val="30"/>
          <w:szCs w:val="30"/>
        </w:rPr>
        <w:t>.错误示例</w:t>
      </w:r>
    </w:p>
    <w:p>
      <w:pPr>
        <w:widowControl/>
        <w:spacing w:line="384" w:lineRule="auto"/>
        <w:ind w:firstLine="600" w:firstLineChars="200"/>
        <w:rPr>
          <w:rFonts w:ascii="Times New Roman" w:hAnsi="Times New Roman" w:eastAsia="仿宋_GB2312" w:cs="Times New Roman"/>
          <w:color w:val="auto"/>
          <w:kern w:val="0"/>
          <w:sz w:val="30"/>
          <w:szCs w:val="30"/>
        </w:rPr>
      </w:pPr>
      <w:r>
        <w:rPr>
          <w:rFonts w:ascii="Times New Roman" w:hAnsi="Times New Roman" w:eastAsia="仿宋_GB2312" w:cs="Times New Roman"/>
          <w:color w:val="auto"/>
          <w:kern w:val="0"/>
          <w:sz w:val="30"/>
          <w:szCs w:val="30"/>
        </w:rPr>
        <w:t>企业在填写《贸易外汇收支企业名录登记申请表》时，应注意“经济类型”填写有限责任公司等内容，“行业类型”填写批发业、建筑业等内容，不要误将行业类型的内容填入经济类型的栏目。</w:t>
      </w:r>
    </w:p>
    <w:p>
      <w:pPr>
        <w:widowControl/>
        <w:spacing w:line="384" w:lineRule="auto"/>
        <w:rPr>
          <w:rFonts w:ascii="Times New Roman" w:hAnsi="Times New Roman" w:eastAsia="仿宋_GB2312" w:cs="Times New Roman"/>
          <w:color w:val="auto"/>
          <w:kern w:val="0"/>
          <w:sz w:val="30"/>
          <w:szCs w:val="30"/>
        </w:rPr>
      </w:pPr>
    </w:p>
    <w:p>
      <w:pPr>
        <w:widowControl/>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br w:type="page"/>
      </w:r>
    </w:p>
    <w:p>
      <w:pPr>
        <w:ind w:right="3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附录一</w:t>
      </w:r>
    </w:p>
    <w:p>
      <w:pPr>
        <w:ind w:right="300"/>
        <w:jc w:val="center"/>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基本流程图</w:t>
      </w:r>
    </w:p>
    <w:p>
      <w:pPr>
        <w:ind w:right="300"/>
        <w:jc w:val="center"/>
        <w:rPr>
          <w:rFonts w:ascii="Times New Roman" w:hAnsi="Times New Roman" w:eastAsia="黑体" w:cs="Times New Roman"/>
          <w:color w:val="auto"/>
          <w:sz w:val="30"/>
          <w:szCs w:val="30"/>
        </w:rPr>
      </w:pPr>
      <w:r>
        <w:rPr>
          <w:rFonts w:ascii="Times New Roman" w:hAnsi="Times New Roman" w:eastAsia="仿宋_GB2312" w:cs="Times New Roman"/>
          <w:color w:val="auto"/>
          <w:kern w:val="2"/>
          <w:sz w:val="30"/>
          <w:szCs w:val="30"/>
          <w:lang w:val="en-US" w:eastAsia="zh-CN" w:bidi="ar-SA"/>
        </w:rPr>
        <w:pict>
          <v:shape id="Flowchart: Terminator 79" o:spid="_x0000_s2050" o:spt="116" type="#_x0000_t116" style="position:absolute;left:0pt;margin-left:0.15pt;margin-top:28.75pt;height:71.5pt;width:86.2pt;z-index:2516592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申请人提出申请，并提交材料</w:t>
                  </w:r>
                </w:p>
              </w:txbxContent>
            </v:textbox>
          </v:shape>
        </w:pict>
      </w: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r>
        <w:rPr>
          <w:rFonts w:ascii="Times New Roman" w:hAnsi="Times New Roman" w:eastAsia="仿宋_GB2312" w:cs="Times New Roman"/>
          <w:color w:val="auto"/>
          <w:kern w:val="2"/>
          <w:sz w:val="30"/>
          <w:szCs w:val="30"/>
          <w:lang w:val="en-US" w:eastAsia="zh-CN" w:bidi="ar-SA"/>
        </w:rPr>
        <w:pict>
          <v:shape id="Straight Connector 87" o:spid="_x0000_s2051" o:spt="32" type="#_x0000_t32" style="position:absolute;left:0pt;margin-left:41.45pt;margin-top:6.65pt;height:57.95pt;width:0.05pt;z-index:251660288;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Straight Connector 91" o:spid="_x0000_s2052" o:spt="32" type="#_x0000_t32" style="position:absolute;left:0pt;flip:x;margin-left:41.45pt;margin-top:21.05pt;height:0.05pt;width:232.15pt;z-index:251661312;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rect id="Rectangle 80" o:spid="_x0000_s2053" o:spt="1" style="position:absolute;left:0pt;margin-left:273.6pt;margin-top:1.6pt;height:33.7pt;width:146.45pt;z-index:25166233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申请人补全材料</w:t>
                  </w:r>
                </w:p>
              </w:txbxContent>
            </v:textbox>
          </v:rect>
        </w:pict>
      </w:r>
    </w:p>
    <w:p>
      <w:pPr>
        <w:ind w:right="300"/>
        <w:jc w:val="left"/>
        <w:rPr>
          <w:rFonts w:ascii="Times New Roman" w:hAnsi="Times New Roman" w:eastAsia="仿宋_GB2312" w:cs="Times New Roman"/>
          <w:color w:val="auto"/>
          <w:sz w:val="30"/>
          <w:szCs w:val="30"/>
        </w:rPr>
        <w:sectPr>
          <w:pgSz w:w="11906" w:h="16838"/>
          <w:pgMar w:top="1440" w:right="1800" w:bottom="1440" w:left="1800" w:header="851" w:footer="992" w:gutter="0"/>
          <w:cols w:space="720" w:num="1"/>
          <w:docGrid w:type="lines" w:linePitch="312" w:charSpace="0"/>
        </w:sectPr>
      </w:pPr>
      <w:r>
        <w:rPr>
          <w:rFonts w:ascii="Times New Roman" w:hAnsi="Times New Roman" w:eastAsia="仿宋_GB2312" w:cs="Times New Roman"/>
          <w:color w:val="auto"/>
          <w:kern w:val="2"/>
          <w:sz w:val="30"/>
          <w:szCs w:val="30"/>
          <w:lang w:val="en-US" w:eastAsia="zh-CN" w:bidi="ar-SA"/>
        </w:rPr>
        <w:pict>
          <v:shape id="Straight Connector 93" o:spid="_x0000_s2054" o:spt="32" type="#_x0000_t32" style="position:absolute;left:0pt;margin-left:236.5pt;margin-top:334.05pt;height:50.5pt;width:0.85pt;z-index:251663360;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Flowchart: Terminator 85" o:spid="_x0000_s2055" o:spt="116" type="#_x0000_t116" style="position:absolute;left:0pt;margin-left:205.9pt;margin-top:384.55pt;height:53.55pt;width:180.85pt;z-index:25166438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依法作出不予许可决定</w:t>
                  </w:r>
                </w:p>
              </w:txbxContent>
            </v:textbox>
          </v:shape>
        </w:pict>
      </w:r>
      <w:r>
        <w:rPr>
          <w:rFonts w:ascii="Times New Roman" w:hAnsi="Times New Roman" w:eastAsia="仿宋_GB2312" w:cs="Times New Roman"/>
          <w:color w:val="auto"/>
          <w:kern w:val="2"/>
          <w:sz w:val="30"/>
          <w:szCs w:val="30"/>
          <w:lang w:val="en-US" w:eastAsia="zh-CN" w:bidi="ar-SA"/>
        </w:rPr>
        <w:pict>
          <v:shape id="Flowchart: Terminator 86" o:spid="_x0000_s2056" o:spt="116" type="#_x0000_t116" style="position:absolute;left:0pt;margin-left:0.15pt;margin-top:384.55pt;height:53.55pt;width:197.6pt;z-index:25166540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予以许可</w:t>
                  </w:r>
                </w:p>
              </w:txbxContent>
            </v:textbox>
          </v:shape>
        </w:pict>
      </w:r>
      <w:r>
        <w:rPr>
          <w:rFonts w:ascii="Times New Roman" w:hAnsi="Times New Roman" w:eastAsia="仿宋_GB2312" w:cs="Times New Roman"/>
          <w:color w:val="auto"/>
          <w:kern w:val="2"/>
          <w:sz w:val="30"/>
          <w:szCs w:val="30"/>
          <w:lang w:val="en-US" w:eastAsia="zh-CN" w:bidi="ar-SA"/>
        </w:rPr>
        <w:pict>
          <v:shape id="Straight Connector 94" o:spid="_x0000_s2057" o:spt="32" type="#_x0000_t32" style="position:absolute;left:0pt;margin-left:131.35pt;margin-top:339.3pt;height:45.25pt;width:0.05pt;z-index:251666432;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Straight Connector 89" o:spid="_x0000_s2058" o:spt="32" type="#_x0000_t32" style="position:absolute;left:0pt;margin-left:93.35pt;margin-top:103.05pt;height:0.05pt;width:58.6pt;z-index:251667456;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Diamond 81" o:spid="_x0000_s2059" o:spt="4" type="#_x0000_t4" style="position:absolute;left:0pt;margin-left:-44.2pt;margin-top:33.4pt;height:99.55pt;width:167pt;z-index:25166848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接件并于5个工作日内作出是否受理决定</w:t>
                  </w:r>
                </w:p>
              </w:txbxContent>
            </v:textbox>
          </v:shape>
        </w:pict>
      </w:r>
      <w:r>
        <w:rPr>
          <w:rFonts w:ascii="Times New Roman" w:hAnsi="Times New Roman" w:eastAsia="仿宋_GB2312" w:cs="Times New Roman"/>
          <w:color w:val="auto"/>
          <w:kern w:val="2"/>
          <w:sz w:val="30"/>
          <w:szCs w:val="30"/>
          <w:lang w:val="en-US" w:eastAsia="zh-CN" w:bidi="ar-SA"/>
        </w:rPr>
        <w:pict>
          <v:shape id="Straight Connector 92" o:spid="_x0000_s2060" o:spt="32" type="#_x0000_t32" style="position:absolute;left:0pt;margin-left:179.6pt;margin-top:231.3pt;height:36.1pt;width:0.05pt;z-index:251669504;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Diamond 97" o:spid="_x0000_s2061" o:spt="4" type="#_x0000_t4" style="position:absolute;left:0pt;margin-left:97.9pt;margin-top:267.4pt;height:99.55pt;width:167pt;z-index:25167052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
                  <w:pPr>
                    <w:ind w:firstLine="315" w:firstLineChars="150"/>
                  </w:pPr>
                  <w:r>
                    <w:rPr>
                      <w:rFonts w:hint="eastAsia"/>
                    </w:rPr>
                    <w:t>审查报批</w:t>
                  </w:r>
                </w:p>
              </w:txbxContent>
            </v:textbox>
          </v:shape>
        </w:pict>
      </w:r>
      <w:r>
        <w:rPr>
          <w:rFonts w:ascii="Times New Roman" w:hAnsi="Times New Roman" w:eastAsia="仿宋_GB2312" w:cs="Times New Roman"/>
          <w:color w:val="auto"/>
          <w:kern w:val="2"/>
          <w:sz w:val="30"/>
          <w:szCs w:val="30"/>
          <w:lang w:val="en-US" w:eastAsia="zh-CN" w:bidi="ar-SA"/>
        </w:rPr>
        <w:pict>
          <v:shape id="Straight Connector 95" o:spid="_x0000_s2062" o:spt="32" type="#_x0000_t32" style="position:absolute;left:0pt;margin-left:40.6pt;margin-top:132.95pt;height:49.9pt;width:0.05pt;z-index:251671552;mso-width-relative:page;mso-height-relative:page;" o:connectortype="straight"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rect id="Rectangle 82" o:spid="_x0000_s2063" o:spt="1" style="position:absolute;left:0pt;margin-left:81.7pt;margin-top:174.45pt;height:56.85pt;width:210.9pt;z-index:25167257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材料齐全的，依法予以受理</w:t>
                  </w:r>
                </w:p>
              </w:txbxContent>
            </v:textbox>
          </v:rect>
        </w:pict>
      </w:r>
      <w:r>
        <w:rPr>
          <w:rFonts w:ascii="Times New Roman" w:hAnsi="Times New Roman" w:eastAsia="仿宋_GB2312" w:cs="Times New Roman"/>
          <w:color w:val="auto"/>
          <w:kern w:val="2"/>
          <w:sz w:val="30"/>
          <w:szCs w:val="30"/>
          <w:lang w:val="en-US" w:eastAsia="zh-CN" w:bidi="ar-SA"/>
        </w:rPr>
        <w:pict>
          <v:shape id="Straight Connector 96" o:spid="_x0000_s2064" o:spt="32" type="#_x0000_t32" style="position:absolute;left:0pt;margin-left:40.6pt;margin-top:182.85pt;height:0.05pt;width:41.1pt;z-index:251673600;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rect id="Rectangle 83" o:spid="_x0000_s2065" o:spt="1" style="position:absolute;left:0pt;margin-left:151.95pt;margin-top:91.5pt;height:45.3pt;width:268.1pt;z-index:25167462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依法不予受理的，作出不予受理决定，出具不予受理通知书</w:t>
                  </w:r>
                </w:p>
              </w:txbxContent>
            </v:textbox>
          </v:rect>
        </w:pict>
      </w:r>
      <w:r>
        <w:rPr>
          <w:rFonts w:ascii="Times New Roman" w:hAnsi="Times New Roman" w:eastAsia="仿宋_GB2312" w:cs="Times New Roman"/>
          <w:color w:val="auto"/>
          <w:kern w:val="2"/>
          <w:sz w:val="30"/>
          <w:szCs w:val="30"/>
          <w:lang w:val="en-US" w:eastAsia="zh-CN" w:bidi="ar-SA"/>
        </w:rPr>
        <w:pict>
          <v:shape id="Straight Connector 90" o:spid="_x0000_s2066" o:spt="32" type="#_x0000_t32" style="position:absolute;left:0pt;flip:y;margin-left:345.35pt;margin-top:4.1pt;height:44.75pt;width:0.05pt;z-index:251675648;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rect id="Rectangle 84" o:spid="_x0000_s2067" o:spt="1" style="position:absolute;left:0pt;margin-left:151.95pt;margin-top:48.85pt;height:25pt;width:268.1pt;z-index:25167667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材料不全或不符合法定形式的，一次性告知补正材料</w:t>
                  </w:r>
                </w:p>
              </w:txbxContent>
            </v:textbox>
          </v:rect>
        </w:pict>
      </w:r>
      <w:r>
        <w:rPr>
          <w:rFonts w:ascii="Times New Roman" w:hAnsi="Times New Roman" w:eastAsia="仿宋_GB2312" w:cs="Times New Roman"/>
          <w:color w:val="auto"/>
          <w:kern w:val="2"/>
          <w:sz w:val="30"/>
          <w:szCs w:val="30"/>
          <w:lang w:val="en-US" w:eastAsia="zh-CN" w:bidi="ar-SA"/>
        </w:rPr>
        <w:pict>
          <v:shape id="Straight Connector 88" o:spid="_x0000_s2068" o:spt="32" type="#_x0000_t32" style="position:absolute;left:0pt;margin-left:93.35pt;margin-top:61.45pt;height:0.05pt;width:58.6pt;z-index:251677696;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p>
    <w:p>
      <w:pPr>
        <w:widowControl/>
        <w:spacing w:line="384" w:lineRule="auto"/>
        <w:jc w:val="left"/>
        <w:rPr>
          <w:rFonts w:hint="eastAsia" w:ascii="Times New Roman" w:hAnsi="Times New Roman" w:eastAsia="仿宋_GB2312" w:cs="Times New Roman"/>
          <w:color w:val="auto"/>
          <w:kern w:val="0"/>
          <w:sz w:val="30"/>
          <w:szCs w:val="30"/>
        </w:rPr>
      </w:pPr>
      <w:r>
        <w:rPr>
          <w:rFonts w:ascii="Times New Roman" w:hAnsi="Times New Roman" w:eastAsia="仿宋_GB2312" w:cs="Times New Roman"/>
          <w:color w:val="auto"/>
          <w:kern w:val="0"/>
          <w:sz w:val="30"/>
          <w:szCs w:val="30"/>
        </w:rPr>
        <w:t>附录二（材料示范文本）</w:t>
      </w:r>
    </w:p>
    <w:p>
      <w:pPr>
        <w:widowControl/>
        <w:spacing w:line="384" w:lineRule="auto"/>
        <w:jc w:val="left"/>
        <w:rPr>
          <w:rFonts w:ascii="Times New Roman" w:hAnsi="Times New Roman" w:eastAsia="仿宋_GB2312" w:cs="Times New Roman"/>
          <w:color w:val="auto"/>
          <w:kern w:val="0"/>
          <w:sz w:val="30"/>
          <w:szCs w:val="30"/>
        </w:rPr>
      </w:pPr>
    </w:p>
    <w:p>
      <w:pPr>
        <w:ind w:right="300"/>
        <w:jc w:val="center"/>
        <w:rPr>
          <w:rFonts w:ascii="Times New Roman" w:hAnsi="Times New Roman" w:eastAsia="黑体" w:cs="Times New Roman"/>
          <w:bCs/>
          <w:color w:val="auto"/>
          <w:kern w:val="0"/>
          <w:sz w:val="24"/>
          <w:szCs w:val="24"/>
        </w:rPr>
      </w:pPr>
      <w:r>
        <w:rPr>
          <w:rFonts w:ascii="Times New Roman" w:hAnsi="Times New Roman" w:eastAsia="黑体" w:cs="Times New Roman"/>
          <w:color w:val="auto"/>
          <w:kern w:val="0"/>
          <w:sz w:val="30"/>
          <w:szCs w:val="30"/>
        </w:rPr>
        <w:t>　　</w:t>
      </w:r>
      <w:r>
        <w:rPr>
          <w:rFonts w:ascii="Times New Roman" w:hAnsi="Times New Roman" w:eastAsia="黑体" w:cs="Times New Roman"/>
          <w:color w:val="auto"/>
          <w:kern w:val="0"/>
          <w:sz w:val="24"/>
          <w:szCs w:val="24"/>
        </w:rPr>
        <w:t>贸易外汇收支企业名录</w:t>
      </w:r>
      <w:r>
        <w:rPr>
          <w:rFonts w:ascii="Times New Roman" w:hAnsi="Times New Roman" w:eastAsia="黑体" w:cs="Times New Roman"/>
          <w:bCs/>
          <w:color w:val="auto"/>
          <w:kern w:val="0"/>
          <w:sz w:val="24"/>
          <w:szCs w:val="24"/>
        </w:rPr>
        <w:t>登记申请表</w:t>
      </w:r>
    </w:p>
    <w:p>
      <w:pPr>
        <w:ind w:right="300"/>
        <w:jc w:val="center"/>
        <w:rPr>
          <w:rFonts w:ascii="Times New Roman" w:hAnsi="Times New Roman" w:eastAsia="黑体" w:cs="Times New Roman"/>
          <w:b/>
          <w:bCs/>
          <w:color w:val="auto"/>
          <w:kern w:val="0"/>
          <w:sz w:val="24"/>
          <w:szCs w:val="24"/>
        </w:rPr>
      </w:pPr>
    </w:p>
    <w:p>
      <w:pPr>
        <w:spacing w:line="384" w:lineRule="auto"/>
        <w:ind w:right="301"/>
        <w:jc w:val="left"/>
        <w:rPr>
          <w:rFonts w:ascii="Times New Roman" w:hAnsi="Times New Roman" w:eastAsia="仿宋_GB2312" w:cs="Times New Roman"/>
          <w:color w:val="auto"/>
          <w:kern w:val="0"/>
          <w:sz w:val="24"/>
          <w:szCs w:val="24"/>
        </w:rPr>
      </w:pPr>
      <w:r>
        <w:rPr>
          <w:rFonts w:ascii="Times New Roman" w:hAnsi="Times New Roman" w:eastAsia="仿宋_GB2312" w:cs="Times New Roman"/>
          <w:bCs/>
          <w:color w:val="auto"/>
          <w:kern w:val="0"/>
          <w:sz w:val="24"/>
          <w:szCs w:val="24"/>
        </w:rPr>
        <w:t>国家外汇管理局XX分(支)局：</w:t>
      </w:r>
    </w:p>
    <w:p>
      <w:pPr>
        <w:spacing w:line="384" w:lineRule="auto"/>
        <w:ind w:right="-58" w:firstLine="480" w:firstLineChars="200"/>
        <w:jc w:val="left"/>
        <w:rPr>
          <w:rFonts w:ascii="Times New Roman" w:hAnsi="Times New Roman" w:eastAsia="仿宋_GB2312" w:cs="Times New Roman"/>
          <w:bCs/>
          <w:color w:val="auto"/>
          <w:kern w:val="0"/>
          <w:sz w:val="24"/>
          <w:szCs w:val="24"/>
        </w:rPr>
      </w:pPr>
      <w:r>
        <w:rPr>
          <w:rFonts w:ascii="Times New Roman" w:hAnsi="Times New Roman" w:eastAsia="仿宋_GB2312" w:cs="Times New Roman"/>
          <w:bCs/>
          <w:color w:val="auto"/>
          <w:kern w:val="0"/>
          <w:sz w:val="24"/>
          <w:szCs w:val="24"/>
        </w:rPr>
        <w:t>本企业因业务需要，申请加入“贸易外汇收支企业名录”。现根据《国家外汇管理局关于印发货物贸易外汇管理法规有关问题的通知》（汇发〔2012〕38号）及《国家外汇管理局关于印发〈经常项目外汇业务指引（2020年版）〉的通知》（汇发〔2020〕14号）要求填写相关信息并提交下列资料，请予以登记。本企业保证所提供的信息和资料真实无讹。</w:t>
      </w:r>
    </w:p>
    <w:p>
      <w:pPr>
        <w:spacing w:line="384" w:lineRule="auto"/>
        <w:ind w:right="301"/>
        <w:jc w:val="left"/>
        <w:rPr>
          <w:rFonts w:ascii="Times New Roman" w:hAnsi="Times New Roman" w:eastAsia="仿宋_GB2312" w:cs="Times New Roman"/>
          <w:bCs/>
          <w:color w:val="auto"/>
          <w:kern w:val="0"/>
          <w:sz w:val="24"/>
          <w:szCs w:val="24"/>
        </w:rPr>
      </w:pPr>
      <w:r>
        <w:rPr>
          <w:rFonts w:ascii="Times New Roman" w:hAnsi="Times New Roman" w:eastAsia="仿宋_GB2312" w:cs="Times New Roman"/>
          <w:bCs/>
          <w:color w:val="auto"/>
          <w:kern w:val="0"/>
          <w:sz w:val="24"/>
          <w:szCs w:val="24"/>
        </w:rPr>
        <w:t>□营业执照副本</w:t>
      </w:r>
    </w:p>
    <w:p>
      <w:pPr>
        <w:spacing w:line="384" w:lineRule="auto"/>
        <w:ind w:right="301"/>
        <w:jc w:val="left"/>
        <w:rPr>
          <w:rFonts w:ascii="Times New Roman" w:hAnsi="Times New Roman" w:eastAsia="仿宋_GB2312" w:cs="Times New Roman"/>
          <w:bCs/>
          <w:color w:val="auto"/>
          <w:kern w:val="0"/>
          <w:sz w:val="24"/>
          <w:szCs w:val="24"/>
        </w:rPr>
      </w:pPr>
      <w:r>
        <w:rPr>
          <w:rFonts w:ascii="Times New Roman" w:hAnsi="Times New Roman" w:eastAsia="仿宋_GB2312" w:cs="Times New Roman"/>
          <w:bCs/>
          <w:color w:val="auto"/>
          <w:kern w:val="0"/>
          <w:sz w:val="24"/>
          <w:szCs w:val="24"/>
        </w:rPr>
        <w:t>（注：以上资料需提供原件及加盖企业公章的复印件。）</w:t>
      </w:r>
    </w:p>
    <w:tbl>
      <w:tblPr>
        <w:tblStyle w:val="7"/>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52"/>
        <w:gridCol w:w="1134"/>
        <w:gridCol w:w="1566"/>
        <w:gridCol w:w="277"/>
        <w:gridCol w:w="1134"/>
        <w:gridCol w:w="179"/>
        <w:gridCol w:w="1013"/>
        <w:gridCol w:w="509"/>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2252" w:type="dxa"/>
            <w:tcBorders>
              <w:top w:val="single" w:color="auto" w:sz="4" w:space="0"/>
              <w:left w:val="single" w:color="auto" w:sz="4" w:space="0"/>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统一社会用</w:t>
            </w:r>
          </w:p>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代码</w:t>
            </w:r>
          </w:p>
        </w:tc>
        <w:tc>
          <w:tcPr>
            <w:tcW w:w="2977" w:type="dxa"/>
            <w:gridSpan w:val="3"/>
            <w:tcBorders>
              <w:top w:val="single" w:color="auto" w:sz="4" w:space="0"/>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color w:val="auto"/>
                <w:kern w:val="0"/>
                <w:sz w:val="24"/>
                <w:szCs w:val="24"/>
              </w:rPr>
            </w:pPr>
          </w:p>
        </w:tc>
        <w:tc>
          <w:tcPr>
            <w:tcW w:w="2326" w:type="dxa"/>
            <w:gridSpan w:val="3"/>
            <w:tcBorders>
              <w:top w:val="single" w:color="auto" w:sz="4" w:space="0"/>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企业名称</w:t>
            </w:r>
          </w:p>
        </w:tc>
        <w:tc>
          <w:tcPr>
            <w:tcW w:w="1643" w:type="dxa"/>
            <w:gridSpan w:val="2"/>
            <w:tcBorders>
              <w:top w:val="single" w:color="auto" w:sz="4" w:space="0"/>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b/>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2252" w:type="dxa"/>
            <w:tcBorders>
              <w:top w:val="nil"/>
              <w:left w:val="single" w:color="auto" w:sz="4" w:space="0"/>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经济类型代码 及名称</w:t>
            </w:r>
          </w:p>
        </w:tc>
        <w:tc>
          <w:tcPr>
            <w:tcW w:w="2977" w:type="dxa"/>
            <w:gridSpan w:val="3"/>
            <w:tcBorders>
              <w:top w:val="nil"/>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b/>
                <w:color w:val="auto"/>
                <w:kern w:val="0"/>
                <w:sz w:val="24"/>
                <w:szCs w:val="24"/>
              </w:rPr>
            </w:pPr>
          </w:p>
        </w:tc>
        <w:tc>
          <w:tcPr>
            <w:tcW w:w="2326" w:type="dxa"/>
            <w:gridSpan w:val="3"/>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行业类型代码</w:t>
            </w:r>
          </w:p>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及名称</w:t>
            </w:r>
          </w:p>
        </w:tc>
        <w:tc>
          <w:tcPr>
            <w:tcW w:w="1643" w:type="dxa"/>
            <w:gridSpan w:val="2"/>
            <w:tcBorders>
              <w:top w:val="nil"/>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b/>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2252" w:type="dxa"/>
            <w:vMerge w:val="restart"/>
            <w:tcBorders>
              <w:top w:val="nil"/>
              <w:left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是否注册在海关特殊监管区域</w:t>
            </w:r>
          </w:p>
        </w:tc>
        <w:tc>
          <w:tcPr>
            <w:tcW w:w="2977" w:type="dxa"/>
            <w:gridSpan w:val="3"/>
            <w:tcBorders>
              <w:top w:val="single" w:color="auto" w:sz="4" w:space="0"/>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是，注明区域名称    　</w:t>
            </w:r>
          </w:p>
        </w:tc>
        <w:tc>
          <w:tcPr>
            <w:tcW w:w="3969" w:type="dxa"/>
            <w:gridSpan w:val="5"/>
            <w:tcBorders>
              <w:top w:val="single" w:color="auto" w:sz="4" w:space="0"/>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2252" w:type="dxa"/>
            <w:vMerge w:val="continue"/>
            <w:tcBorders>
              <w:left w:val="single" w:color="auto" w:sz="4" w:space="0"/>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p>
        </w:tc>
        <w:tc>
          <w:tcPr>
            <w:tcW w:w="2977" w:type="dxa"/>
            <w:gridSpan w:val="3"/>
            <w:tcBorders>
              <w:top w:val="single" w:color="auto" w:sz="4" w:space="0"/>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val="en-US" w:eastAsia="zh-CN" w:bidi="ar-SA"/>
              </w:rPr>
              <w:pict>
                <v:shape id="Straight Connector 98" o:spid="_x0000_s2069" o:spt="32" type="#_x0000_t32" style="position:absolute;left:0pt;flip:y;margin-left:142.45pt;margin-top:0.8pt;height:19.7pt;width:198.6pt;z-index:251678720;mso-width-relative:page;mso-height-relative:page;" o:connectortype="straight"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shape>
              </w:pict>
            </w:r>
            <w:r>
              <w:rPr>
                <w:rFonts w:ascii="Times New Roman" w:hAnsi="Times New Roman" w:eastAsia="仿宋_GB2312" w:cs="Times New Roman"/>
                <w:color w:val="auto"/>
                <w:kern w:val="0"/>
                <w:sz w:val="24"/>
                <w:szCs w:val="24"/>
              </w:rPr>
              <w:t>否</w:t>
            </w:r>
          </w:p>
        </w:tc>
        <w:tc>
          <w:tcPr>
            <w:tcW w:w="3969" w:type="dxa"/>
            <w:gridSpan w:val="5"/>
            <w:tcBorders>
              <w:top w:val="single" w:color="auto" w:sz="4" w:space="0"/>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2252" w:type="dxa"/>
            <w:tcBorders>
              <w:top w:val="nil"/>
              <w:left w:val="single" w:color="auto" w:sz="4" w:space="0"/>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是否海关进出口货物收发货人报关注册企业</w:t>
            </w:r>
          </w:p>
        </w:tc>
        <w:tc>
          <w:tcPr>
            <w:tcW w:w="2977" w:type="dxa"/>
            <w:gridSpan w:val="3"/>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是      否</w:t>
            </w:r>
          </w:p>
        </w:tc>
        <w:tc>
          <w:tcPr>
            <w:tcW w:w="2326" w:type="dxa"/>
            <w:gridSpan w:val="3"/>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xml:space="preserve">是否对外贸易 </w:t>
            </w:r>
          </w:p>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经营权企业</w:t>
            </w:r>
          </w:p>
        </w:tc>
        <w:tc>
          <w:tcPr>
            <w:tcW w:w="1643" w:type="dxa"/>
            <w:gridSpan w:val="2"/>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2252" w:type="dxa"/>
            <w:tcBorders>
              <w:top w:val="nil"/>
              <w:left w:val="single" w:color="auto" w:sz="4" w:space="0"/>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法定代表人姓名</w:t>
            </w:r>
          </w:p>
        </w:tc>
        <w:tc>
          <w:tcPr>
            <w:tcW w:w="2977" w:type="dxa"/>
            <w:gridSpan w:val="3"/>
            <w:tcBorders>
              <w:top w:val="nil"/>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b/>
                <w:color w:val="auto"/>
                <w:kern w:val="0"/>
                <w:sz w:val="24"/>
                <w:szCs w:val="24"/>
              </w:rPr>
            </w:pPr>
          </w:p>
        </w:tc>
        <w:tc>
          <w:tcPr>
            <w:tcW w:w="2326" w:type="dxa"/>
            <w:gridSpan w:val="3"/>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法定代表人身份证/护照号码</w:t>
            </w:r>
          </w:p>
        </w:tc>
        <w:tc>
          <w:tcPr>
            <w:tcW w:w="1643" w:type="dxa"/>
            <w:gridSpan w:val="2"/>
            <w:tcBorders>
              <w:top w:val="nil"/>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b/>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2252" w:type="dxa"/>
            <w:tcBorders>
              <w:top w:val="nil"/>
              <w:left w:val="single" w:color="auto" w:sz="4" w:space="0"/>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外币注册币种</w:t>
            </w:r>
          </w:p>
        </w:tc>
        <w:tc>
          <w:tcPr>
            <w:tcW w:w="2977" w:type="dxa"/>
            <w:gridSpan w:val="3"/>
            <w:tcBorders>
              <w:top w:val="nil"/>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b/>
                <w:color w:val="auto"/>
                <w:kern w:val="0"/>
                <w:sz w:val="24"/>
                <w:szCs w:val="24"/>
              </w:rPr>
            </w:pPr>
          </w:p>
        </w:tc>
        <w:tc>
          <w:tcPr>
            <w:tcW w:w="2326" w:type="dxa"/>
            <w:gridSpan w:val="3"/>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外币注册资金</w:t>
            </w:r>
          </w:p>
        </w:tc>
        <w:tc>
          <w:tcPr>
            <w:tcW w:w="1643" w:type="dxa"/>
            <w:gridSpan w:val="2"/>
            <w:tcBorders>
              <w:top w:val="nil"/>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b/>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2252" w:type="dxa"/>
            <w:tcBorders>
              <w:top w:val="nil"/>
              <w:left w:val="single" w:color="auto" w:sz="4" w:space="0"/>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人民币注册资金</w:t>
            </w:r>
          </w:p>
        </w:tc>
        <w:tc>
          <w:tcPr>
            <w:tcW w:w="2977" w:type="dxa"/>
            <w:gridSpan w:val="3"/>
            <w:tcBorders>
              <w:top w:val="nil"/>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b/>
                <w:color w:val="auto"/>
                <w:kern w:val="0"/>
                <w:sz w:val="24"/>
                <w:szCs w:val="24"/>
              </w:rPr>
            </w:pPr>
          </w:p>
        </w:tc>
        <w:tc>
          <w:tcPr>
            <w:tcW w:w="2326" w:type="dxa"/>
            <w:gridSpan w:val="3"/>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成立日期</w:t>
            </w:r>
          </w:p>
        </w:tc>
        <w:tc>
          <w:tcPr>
            <w:tcW w:w="1643" w:type="dxa"/>
            <w:gridSpan w:val="2"/>
            <w:tcBorders>
              <w:top w:val="nil"/>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2252" w:type="dxa"/>
            <w:tcBorders>
              <w:top w:val="nil"/>
              <w:left w:val="single" w:color="auto" w:sz="4" w:space="0"/>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经营范围</w:t>
            </w:r>
          </w:p>
        </w:tc>
        <w:tc>
          <w:tcPr>
            <w:tcW w:w="6946" w:type="dxa"/>
            <w:gridSpan w:val="8"/>
            <w:tcBorders>
              <w:top w:val="nil"/>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b/>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2252" w:type="dxa"/>
            <w:tcBorders>
              <w:top w:val="nil"/>
              <w:left w:val="single" w:color="auto" w:sz="4" w:space="0"/>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企业地址</w:t>
            </w:r>
          </w:p>
        </w:tc>
        <w:tc>
          <w:tcPr>
            <w:tcW w:w="6946" w:type="dxa"/>
            <w:gridSpan w:val="8"/>
            <w:tcBorders>
              <w:top w:val="nil"/>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b/>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252" w:type="dxa"/>
            <w:tcBorders>
              <w:top w:val="nil"/>
              <w:left w:val="single" w:color="auto" w:sz="4" w:space="0"/>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是否外贸综合服务企业</w:t>
            </w:r>
          </w:p>
        </w:tc>
        <w:tc>
          <w:tcPr>
            <w:tcW w:w="1134" w:type="dxa"/>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是 否</w:t>
            </w:r>
          </w:p>
        </w:tc>
        <w:tc>
          <w:tcPr>
            <w:tcW w:w="1843" w:type="dxa"/>
            <w:gridSpan w:val="2"/>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是否市场采购贸易企业</w:t>
            </w:r>
          </w:p>
        </w:tc>
        <w:tc>
          <w:tcPr>
            <w:tcW w:w="1134" w:type="dxa"/>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是 否</w:t>
            </w:r>
          </w:p>
        </w:tc>
        <w:tc>
          <w:tcPr>
            <w:tcW w:w="1701" w:type="dxa"/>
            <w:gridSpan w:val="3"/>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是否跨境电商平台</w:t>
            </w:r>
          </w:p>
        </w:tc>
        <w:tc>
          <w:tcPr>
            <w:tcW w:w="1134" w:type="dxa"/>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3386" w:type="dxa"/>
            <w:gridSpan w:val="2"/>
            <w:tcBorders>
              <w:top w:val="nil"/>
              <w:left w:val="single" w:color="auto" w:sz="4" w:space="0"/>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是否商品现货交易所</w:t>
            </w:r>
          </w:p>
        </w:tc>
        <w:tc>
          <w:tcPr>
            <w:tcW w:w="1566" w:type="dxa"/>
            <w:tcBorders>
              <w:top w:val="nil"/>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是   否</w:t>
            </w:r>
          </w:p>
        </w:tc>
        <w:tc>
          <w:tcPr>
            <w:tcW w:w="3112" w:type="dxa"/>
            <w:gridSpan w:val="5"/>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是否海外仓出口企业</w:t>
            </w:r>
          </w:p>
        </w:tc>
        <w:tc>
          <w:tcPr>
            <w:tcW w:w="1134" w:type="dxa"/>
            <w:tcBorders>
              <w:top w:val="nil"/>
              <w:left w:val="nil"/>
              <w:bottom w:val="single" w:color="auto" w:sz="4" w:space="0"/>
              <w:right w:val="single" w:color="auto" w:sz="4" w:space="0"/>
            </w:tcBorders>
            <w:shd w:val="clear" w:color="auto" w:fill="FFFFFF"/>
            <w:vAlign w:val="center"/>
          </w:tcPr>
          <w:p>
            <w:pPr>
              <w:ind w:right="300"/>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252" w:type="dxa"/>
            <w:tcBorders>
              <w:top w:val="nil"/>
              <w:left w:val="single" w:color="auto" w:sz="4" w:space="0"/>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邮编</w:t>
            </w:r>
          </w:p>
        </w:tc>
        <w:tc>
          <w:tcPr>
            <w:tcW w:w="2700" w:type="dxa"/>
            <w:gridSpan w:val="2"/>
            <w:tcBorders>
              <w:top w:val="nil"/>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b/>
                <w:color w:val="auto"/>
                <w:kern w:val="0"/>
                <w:sz w:val="24"/>
                <w:szCs w:val="24"/>
              </w:rPr>
            </w:pPr>
          </w:p>
        </w:tc>
        <w:tc>
          <w:tcPr>
            <w:tcW w:w="1590" w:type="dxa"/>
            <w:gridSpan w:val="3"/>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电话</w:t>
            </w:r>
          </w:p>
        </w:tc>
        <w:tc>
          <w:tcPr>
            <w:tcW w:w="2656" w:type="dxa"/>
            <w:gridSpan w:val="3"/>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b/>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2252" w:type="dxa"/>
            <w:tcBorders>
              <w:top w:val="nil"/>
              <w:left w:val="single" w:color="auto" w:sz="4" w:space="0"/>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传真</w:t>
            </w:r>
          </w:p>
        </w:tc>
        <w:tc>
          <w:tcPr>
            <w:tcW w:w="2700" w:type="dxa"/>
            <w:gridSpan w:val="2"/>
            <w:tcBorders>
              <w:top w:val="nil"/>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b/>
                <w:color w:val="auto"/>
                <w:kern w:val="0"/>
                <w:sz w:val="24"/>
                <w:szCs w:val="24"/>
              </w:rPr>
            </w:pPr>
          </w:p>
        </w:tc>
        <w:tc>
          <w:tcPr>
            <w:tcW w:w="1590" w:type="dxa"/>
            <w:gridSpan w:val="3"/>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电子邮箱</w:t>
            </w:r>
          </w:p>
        </w:tc>
        <w:tc>
          <w:tcPr>
            <w:tcW w:w="2656" w:type="dxa"/>
            <w:gridSpan w:val="3"/>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b/>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2252" w:type="dxa"/>
            <w:tcBorders>
              <w:top w:val="nil"/>
              <w:left w:val="single" w:color="auto" w:sz="4" w:space="0"/>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企业联系人</w:t>
            </w:r>
          </w:p>
        </w:tc>
        <w:tc>
          <w:tcPr>
            <w:tcW w:w="2700" w:type="dxa"/>
            <w:gridSpan w:val="2"/>
            <w:tcBorders>
              <w:top w:val="nil"/>
              <w:left w:val="nil"/>
              <w:bottom w:val="single" w:color="auto" w:sz="4" w:space="0"/>
              <w:right w:val="single" w:color="auto" w:sz="4" w:space="0"/>
            </w:tcBorders>
            <w:shd w:val="clear" w:color="auto" w:fill="FFFFFF"/>
            <w:vAlign w:val="center"/>
          </w:tcPr>
          <w:p>
            <w:pPr>
              <w:ind w:right="300"/>
              <w:jc w:val="left"/>
              <w:rPr>
                <w:rFonts w:ascii="Times New Roman" w:hAnsi="Times New Roman" w:eastAsia="仿宋_GB2312" w:cs="Times New Roman"/>
                <w:b/>
                <w:color w:val="auto"/>
                <w:kern w:val="0"/>
                <w:sz w:val="24"/>
                <w:szCs w:val="24"/>
              </w:rPr>
            </w:pPr>
          </w:p>
        </w:tc>
        <w:tc>
          <w:tcPr>
            <w:tcW w:w="1590" w:type="dxa"/>
            <w:gridSpan w:val="3"/>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手机</w:t>
            </w:r>
          </w:p>
        </w:tc>
        <w:tc>
          <w:tcPr>
            <w:tcW w:w="2656" w:type="dxa"/>
            <w:gridSpan w:val="3"/>
            <w:tcBorders>
              <w:top w:val="nil"/>
              <w:left w:val="nil"/>
              <w:bottom w:val="single" w:color="auto" w:sz="4" w:space="0"/>
              <w:right w:val="single" w:color="auto" w:sz="4" w:space="0"/>
            </w:tcBorders>
            <w:shd w:val="clear" w:color="auto" w:fill="FFFFFF"/>
            <w:vAlign w:val="center"/>
          </w:tcPr>
          <w:p>
            <w:pPr>
              <w:ind w:right="300"/>
              <w:jc w:val="center"/>
              <w:rPr>
                <w:rFonts w:ascii="Times New Roman" w:hAnsi="Times New Roman" w:eastAsia="仿宋_GB2312" w:cs="Times New Roman"/>
                <w:color w:val="auto"/>
                <w:kern w:val="0"/>
                <w:sz w:val="24"/>
                <w:szCs w:val="24"/>
              </w:rPr>
            </w:pPr>
          </w:p>
        </w:tc>
      </w:tr>
    </w:tbl>
    <w:p>
      <w:pPr>
        <w:spacing w:line="560" w:lineRule="exact"/>
        <w:ind w:right="301"/>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xml:space="preserve">    </w:t>
      </w:r>
    </w:p>
    <w:p>
      <w:pPr>
        <w:spacing w:line="560" w:lineRule="exact"/>
        <w:ind w:right="-58" w:firstLine="480" w:firstLineChars="200"/>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本企业将认真学习并遵守贸易外汇管理法规规定，积极支持配合外汇局对贸易外汇收支业务的管理。依法从事对外贸易，接受并配合外汇局对本企业贸易外汇收支进行监督检查，及时、如实说明情况并提供相关单证资料；按规定进行相关的业务登记与报告；按照外汇局分类管理要求办理贸易外汇收支业务。</w:t>
      </w:r>
    </w:p>
    <w:p>
      <w:pPr>
        <w:spacing w:line="560" w:lineRule="exact"/>
        <w:ind w:right="301"/>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xml:space="preserve">                                    企业（公章）：</w:t>
      </w:r>
    </w:p>
    <w:p>
      <w:pPr>
        <w:spacing w:line="560" w:lineRule="exact"/>
        <w:ind w:right="301"/>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xml:space="preserve">                              法定代表人（签字）：</w:t>
      </w:r>
    </w:p>
    <w:p>
      <w:pPr>
        <w:spacing w:line="560" w:lineRule="exact"/>
        <w:ind w:right="301"/>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xml:space="preserve">                              申请日期：    年     月     日                              </w:t>
      </w:r>
    </w:p>
    <w:p>
      <w:pPr>
        <w:spacing w:line="560" w:lineRule="exact"/>
        <w:ind w:right="301"/>
        <w:jc w:val="left"/>
        <w:rPr>
          <w:rFonts w:ascii="Times New Roman" w:hAnsi="Times New Roman" w:eastAsia="仿宋_GB2312" w:cs="Times New Roman"/>
          <w:color w:val="auto"/>
          <w:kern w:val="0"/>
          <w:sz w:val="30"/>
          <w:szCs w:val="30"/>
        </w:rPr>
      </w:pPr>
    </w:p>
    <w:p>
      <w:pPr>
        <w:spacing w:line="560" w:lineRule="exact"/>
        <w:ind w:right="301"/>
        <w:jc w:val="left"/>
        <w:rPr>
          <w:rFonts w:ascii="Times New Roman" w:hAnsi="Times New Roman" w:eastAsia="仿宋_GB2312" w:cs="Times New Roman"/>
          <w:color w:val="auto"/>
          <w:kern w:val="0"/>
          <w:sz w:val="30"/>
          <w:szCs w:val="30"/>
        </w:rPr>
      </w:pPr>
    </w:p>
    <w:p>
      <w:pPr>
        <w:spacing w:line="560" w:lineRule="exact"/>
        <w:ind w:right="301"/>
        <w:jc w:val="left"/>
        <w:rPr>
          <w:rFonts w:ascii="Times New Roman" w:hAnsi="Times New Roman" w:eastAsia="仿宋_GB2312" w:cs="Times New Roman"/>
          <w:color w:val="auto"/>
          <w:kern w:val="0"/>
          <w:sz w:val="24"/>
          <w:szCs w:val="24"/>
        </w:rPr>
      </w:pPr>
    </w:p>
    <w:p>
      <w:pPr>
        <w:spacing w:line="560" w:lineRule="exact"/>
        <w:ind w:right="301"/>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注意事项及填表说明：</w:t>
      </w:r>
    </w:p>
    <w:p>
      <w:pPr>
        <w:tabs>
          <w:tab w:val="left" w:pos="8222"/>
        </w:tabs>
        <w:spacing w:line="560" w:lineRule="exact"/>
        <w:ind w:right="84" w:firstLine="480" w:firstLineChars="200"/>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请认真阅读下列填表说明，按要求填写相关事项，因填写不准确造成的后果自行承担：</w:t>
      </w:r>
    </w:p>
    <w:p>
      <w:pPr>
        <w:spacing w:line="560" w:lineRule="exact"/>
        <w:ind w:right="-58" w:firstLine="480" w:firstLineChars="200"/>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1.经济类型代码及名称：按照“经济类型代码及名称表”内容选择其中一项填写（可参照营业执照填写）；</w:t>
      </w:r>
    </w:p>
    <w:p>
      <w:pPr>
        <w:spacing w:line="560" w:lineRule="exact"/>
        <w:ind w:right="-58" w:firstLine="480" w:firstLineChars="200"/>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2.行业类型代码及名称：按照“行业类型代码及名称表”内容选择其中一项填写；</w:t>
      </w:r>
    </w:p>
    <w:p>
      <w:pPr>
        <w:spacing w:line="560" w:lineRule="exact"/>
        <w:ind w:right="-58" w:firstLine="480" w:firstLineChars="200"/>
        <w:jc w:val="left"/>
        <w:rPr>
          <w:rFonts w:ascii="Times New Roman" w:hAnsi="Times New Roman" w:eastAsia="仿宋_GB2312" w:cs="Times New Roman"/>
          <w:color w:val="auto"/>
          <w:kern w:val="0"/>
          <w:sz w:val="30"/>
          <w:szCs w:val="30"/>
        </w:rPr>
      </w:pPr>
      <w:r>
        <w:rPr>
          <w:rFonts w:ascii="Times New Roman" w:hAnsi="Times New Roman" w:eastAsia="仿宋_GB2312" w:cs="Times New Roman"/>
          <w:color w:val="auto"/>
          <w:kern w:val="0"/>
          <w:sz w:val="24"/>
          <w:szCs w:val="24"/>
        </w:rPr>
        <w:t>3.是否注册在海关特殊监管区域：海关特殊监管区域包括“保税区”、“出口加工区”、“保税物流园区”、“保税港区”、“综合保税区”等，填写是或否，并注明具体名称。</w:t>
      </w:r>
    </w:p>
    <w:p>
      <w:pPr>
        <w:ind w:right="300"/>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10</w:t>
    </w:r>
    <w:r>
      <w:rPr>
        <w:lang w:val="zh-CN"/>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78</w:t>
    </w:r>
    <w:r>
      <w:rPr>
        <w:lang w:val="zh-CN"/>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12</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GQ4YjIwYjI4ZmE4OWQ2YmE1MDViYjU3ZGNiYjhlODIifQ=="/>
  </w:docVars>
  <w:rsids>
    <w:rsidRoot w:val="00172A27"/>
    <w:rsid w:val="000003C0"/>
    <w:rsid w:val="000021D6"/>
    <w:rsid w:val="00004BD5"/>
    <w:rsid w:val="00007A67"/>
    <w:rsid w:val="00027E45"/>
    <w:rsid w:val="000351A4"/>
    <w:rsid w:val="00037A07"/>
    <w:rsid w:val="00042CB9"/>
    <w:rsid w:val="00050681"/>
    <w:rsid w:val="000566CF"/>
    <w:rsid w:val="000652D6"/>
    <w:rsid w:val="00070716"/>
    <w:rsid w:val="00097754"/>
    <w:rsid w:val="000D3467"/>
    <w:rsid w:val="000D3E0B"/>
    <w:rsid w:val="000D61BB"/>
    <w:rsid w:val="000E2AD6"/>
    <w:rsid w:val="000E2D98"/>
    <w:rsid w:val="000E5910"/>
    <w:rsid w:val="000F1C17"/>
    <w:rsid w:val="000F24B5"/>
    <w:rsid w:val="00102A7C"/>
    <w:rsid w:val="00106460"/>
    <w:rsid w:val="001156C5"/>
    <w:rsid w:val="00134BF3"/>
    <w:rsid w:val="00140DE8"/>
    <w:rsid w:val="001418D3"/>
    <w:rsid w:val="00154329"/>
    <w:rsid w:val="001557E5"/>
    <w:rsid w:val="00163202"/>
    <w:rsid w:val="001870AC"/>
    <w:rsid w:val="00193A89"/>
    <w:rsid w:val="00195B37"/>
    <w:rsid w:val="001A1E83"/>
    <w:rsid w:val="001A61DE"/>
    <w:rsid w:val="001C084E"/>
    <w:rsid w:val="001C2B84"/>
    <w:rsid w:val="001C3568"/>
    <w:rsid w:val="001C4BB1"/>
    <w:rsid w:val="001D095F"/>
    <w:rsid w:val="001D2DD9"/>
    <w:rsid w:val="001D325D"/>
    <w:rsid w:val="001D56F0"/>
    <w:rsid w:val="001D5C07"/>
    <w:rsid w:val="001E37D7"/>
    <w:rsid w:val="001F1B4B"/>
    <w:rsid w:val="001F2A75"/>
    <w:rsid w:val="00212F1A"/>
    <w:rsid w:val="00215F91"/>
    <w:rsid w:val="002178A9"/>
    <w:rsid w:val="002226D7"/>
    <w:rsid w:val="0023361F"/>
    <w:rsid w:val="00233CB8"/>
    <w:rsid w:val="00233F9E"/>
    <w:rsid w:val="00235C6D"/>
    <w:rsid w:val="002453CB"/>
    <w:rsid w:val="00253212"/>
    <w:rsid w:val="00254875"/>
    <w:rsid w:val="0025599E"/>
    <w:rsid w:val="0026037E"/>
    <w:rsid w:val="002654CB"/>
    <w:rsid w:val="00266E25"/>
    <w:rsid w:val="00273E50"/>
    <w:rsid w:val="0028237D"/>
    <w:rsid w:val="002A0834"/>
    <w:rsid w:val="002B0553"/>
    <w:rsid w:val="002B05F7"/>
    <w:rsid w:val="002B3F08"/>
    <w:rsid w:val="002B4E65"/>
    <w:rsid w:val="002C7EAF"/>
    <w:rsid w:val="002F2577"/>
    <w:rsid w:val="002F6202"/>
    <w:rsid w:val="0031062A"/>
    <w:rsid w:val="00316E50"/>
    <w:rsid w:val="00316F0E"/>
    <w:rsid w:val="00321272"/>
    <w:rsid w:val="00325547"/>
    <w:rsid w:val="00326B8C"/>
    <w:rsid w:val="003314E4"/>
    <w:rsid w:val="00331E1E"/>
    <w:rsid w:val="003371EB"/>
    <w:rsid w:val="0033746D"/>
    <w:rsid w:val="00337ED9"/>
    <w:rsid w:val="00345800"/>
    <w:rsid w:val="003508A5"/>
    <w:rsid w:val="00354A7C"/>
    <w:rsid w:val="00364BB9"/>
    <w:rsid w:val="00377012"/>
    <w:rsid w:val="00387FD0"/>
    <w:rsid w:val="00396CD5"/>
    <w:rsid w:val="003A1721"/>
    <w:rsid w:val="003A4630"/>
    <w:rsid w:val="003A496B"/>
    <w:rsid w:val="003B1325"/>
    <w:rsid w:val="003B6057"/>
    <w:rsid w:val="003C3480"/>
    <w:rsid w:val="003C5C1F"/>
    <w:rsid w:val="003D1EDA"/>
    <w:rsid w:val="003D1F9B"/>
    <w:rsid w:val="003D2BBB"/>
    <w:rsid w:val="003D3BB2"/>
    <w:rsid w:val="003D7B66"/>
    <w:rsid w:val="00404086"/>
    <w:rsid w:val="0040580D"/>
    <w:rsid w:val="00413782"/>
    <w:rsid w:val="00417C88"/>
    <w:rsid w:val="004311DF"/>
    <w:rsid w:val="00436919"/>
    <w:rsid w:val="00437717"/>
    <w:rsid w:val="0044021E"/>
    <w:rsid w:val="00445A64"/>
    <w:rsid w:val="0045411C"/>
    <w:rsid w:val="004573E4"/>
    <w:rsid w:val="00460C6A"/>
    <w:rsid w:val="00460F9A"/>
    <w:rsid w:val="00483315"/>
    <w:rsid w:val="00486995"/>
    <w:rsid w:val="00487956"/>
    <w:rsid w:val="004924A7"/>
    <w:rsid w:val="004935B2"/>
    <w:rsid w:val="00494124"/>
    <w:rsid w:val="00497EF0"/>
    <w:rsid w:val="00497FC6"/>
    <w:rsid w:val="004A0818"/>
    <w:rsid w:val="004A5600"/>
    <w:rsid w:val="004A6503"/>
    <w:rsid w:val="004B1BDA"/>
    <w:rsid w:val="004B29AE"/>
    <w:rsid w:val="004B3A9F"/>
    <w:rsid w:val="004C5477"/>
    <w:rsid w:val="004D3F83"/>
    <w:rsid w:val="004E4AD4"/>
    <w:rsid w:val="004E746C"/>
    <w:rsid w:val="004E7E2D"/>
    <w:rsid w:val="004F1B78"/>
    <w:rsid w:val="004F3F94"/>
    <w:rsid w:val="005062BC"/>
    <w:rsid w:val="00512742"/>
    <w:rsid w:val="00512786"/>
    <w:rsid w:val="00514ABC"/>
    <w:rsid w:val="005263C0"/>
    <w:rsid w:val="00544909"/>
    <w:rsid w:val="00551A5A"/>
    <w:rsid w:val="0056706F"/>
    <w:rsid w:val="00567128"/>
    <w:rsid w:val="005845DF"/>
    <w:rsid w:val="00584DF2"/>
    <w:rsid w:val="0058649D"/>
    <w:rsid w:val="00593352"/>
    <w:rsid w:val="00595487"/>
    <w:rsid w:val="005A32AB"/>
    <w:rsid w:val="005A3A70"/>
    <w:rsid w:val="005A61D4"/>
    <w:rsid w:val="005B322C"/>
    <w:rsid w:val="005C4A17"/>
    <w:rsid w:val="005E1F6F"/>
    <w:rsid w:val="005E6464"/>
    <w:rsid w:val="005F1522"/>
    <w:rsid w:val="005F1FAC"/>
    <w:rsid w:val="005F3C89"/>
    <w:rsid w:val="005F5952"/>
    <w:rsid w:val="006017F9"/>
    <w:rsid w:val="006025FB"/>
    <w:rsid w:val="00603617"/>
    <w:rsid w:val="0064768C"/>
    <w:rsid w:val="006509E6"/>
    <w:rsid w:val="00654AA7"/>
    <w:rsid w:val="006553EF"/>
    <w:rsid w:val="006603EC"/>
    <w:rsid w:val="00673F17"/>
    <w:rsid w:val="006847AE"/>
    <w:rsid w:val="006915F8"/>
    <w:rsid w:val="00696646"/>
    <w:rsid w:val="00696A7B"/>
    <w:rsid w:val="006B1D92"/>
    <w:rsid w:val="006B28AD"/>
    <w:rsid w:val="006B3076"/>
    <w:rsid w:val="006B5EF5"/>
    <w:rsid w:val="006B6370"/>
    <w:rsid w:val="006B71D2"/>
    <w:rsid w:val="006C4C39"/>
    <w:rsid w:val="006C6087"/>
    <w:rsid w:val="006D3427"/>
    <w:rsid w:val="006D43F5"/>
    <w:rsid w:val="006D6A5B"/>
    <w:rsid w:val="006E7C82"/>
    <w:rsid w:val="006F61C6"/>
    <w:rsid w:val="0071311B"/>
    <w:rsid w:val="007157B6"/>
    <w:rsid w:val="0072541C"/>
    <w:rsid w:val="0073340E"/>
    <w:rsid w:val="00735659"/>
    <w:rsid w:val="00735A28"/>
    <w:rsid w:val="007510E5"/>
    <w:rsid w:val="007544BC"/>
    <w:rsid w:val="007632A0"/>
    <w:rsid w:val="007634FF"/>
    <w:rsid w:val="0076451B"/>
    <w:rsid w:val="007704CD"/>
    <w:rsid w:val="0078686C"/>
    <w:rsid w:val="00787DF5"/>
    <w:rsid w:val="00795D93"/>
    <w:rsid w:val="007A1978"/>
    <w:rsid w:val="007B0E48"/>
    <w:rsid w:val="007B0EBE"/>
    <w:rsid w:val="007B6675"/>
    <w:rsid w:val="007C52A7"/>
    <w:rsid w:val="007E1D0E"/>
    <w:rsid w:val="007E7441"/>
    <w:rsid w:val="007F233E"/>
    <w:rsid w:val="0080044E"/>
    <w:rsid w:val="0081373A"/>
    <w:rsid w:val="00815287"/>
    <w:rsid w:val="00824D07"/>
    <w:rsid w:val="008269C3"/>
    <w:rsid w:val="00826F3F"/>
    <w:rsid w:val="00827911"/>
    <w:rsid w:val="00832D42"/>
    <w:rsid w:val="00833A95"/>
    <w:rsid w:val="00834DF4"/>
    <w:rsid w:val="00837990"/>
    <w:rsid w:val="00841DE9"/>
    <w:rsid w:val="00842C2F"/>
    <w:rsid w:val="008459E3"/>
    <w:rsid w:val="00846D5D"/>
    <w:rsid w:val="00864463"/>
    <w:rsid w:val="00865B37"/>
    <w:rsid w:val="00871300"/>
    <w:rsid w:val="00871BB2"/>
    <w:rsid w:val="0087457D"/>
    <w:rsid w:val="008767C3"/>
    <w:rsid w:val="00876926"/>
    <w:rsid w:val="008A09ED"/>
    <w:rsid w:val="008A0A76"/>
    <w:rsid w:val="008A53DB"/>
    <w:rsid w:val="008A6143"/>
    <w:rsid w:val="008A6DDB"/>
    <w:rsid w:val="008A6EEC"/>
    <w:rsid w:val="008B019D"/>
    <w:rsid w:val="008B3288"/>
    <w:rsid w:val="008B4359"/>
    <w:rsid w:val="008C33D3"/>
    <w:rsid w:val="008D3637"/>
    <w:rsid w:val="008E0D30"/>
    <w:rsid w:val="008E324F"/>
    <w:rsid w:val="008E57E6"/>
    <w:rsid w:val="008E6700"/>
    <w:rsid w:val="008F36D7"/>
    <w:rsid w:val="008F3E08"/>
    <w:rsid w:val="008F5475"/>
    <w:rsid w:val="008F5F4C"/>
    <w:rsid w:val="008F7955"/>
    <w:rsid w:val="00916523"/>
    <w:rsid w:val="009245CA"/>
    <w:rsid w:val="009347F8"/>
    <w:rsid w:val="009379DE"/>
    <w:rsid w:val="009516B1"/>
    <w:rsid w:val="00960764"/>
    <w:rsid w:val="009640DB"/>
    <w:rsid w:val="00966422"/>
    <w:rsid w:val="00970C40"/>
    <w:rsid w:val="00976900"/>
    <w:rsid w:val="00977A16"/>
    <w:rsid w:val="00981057"/>
    <w:rsid w:val="00984619"/>
    <w:rsid w:val="009849B6"/>
    <w:rsid w:val="00985C45"/>
    <w:rsid w:val="00986690"/>
    <w:rsid w:val="0098731F"/>
    <w:rsid w:val="009976AB"/>
    <w:rsid w:val="009A32EE"/>
    <w:rsid w:val="009B0566"/>
    <w:rsid w:val="009B19B3"/>
    <w:rsid w:val="009D2CA3"/>
    <w:rsid w:val="009D7865"/>
    <w:rsid w:val="00A011E0"/>
    <w:rsid w:val="00A019DC"/>
    <w:rsid w:val="00A037BB"/>
    <w:rsid w:val="00A053EC"/>
    <w:rsid w:val="00A20682"/>
    <w:rsid w:val="00A20869"/>
    <w:rsid w:val="00A21B4B"/>
    <w:rsid w:val="00A23CC9"/>
    <w:rsid w:val="00A31120"/>
    <w:rsid w:val="00A31633"/>
    <w:rsid w:val="00A333A8"/>
    <w:rsid w:val="00A33C4E"/>
    <w:rsid w:val="00A41AC7"/>
    <w:rsid w:val="00A42BA0"/>
    <w:rsid w:val="00A437F1"/>
    <w:rsid w:val="00A4638A"/>
    <w:rsid w:val="00A525DF"/>
    <w:rsid w:val="00A56380"/>
    <w:rsid w:val="00A724BB"/>
    <w:rsid w:val="00A76F2C"/>
    <w:rsid w:val="00A828DC"/>
    <w:rsid w:val="00A85917"/>
    <w:rsid w:val="00AA2782"/>
    <w:rsid w:val="00AB1454"/>
    <w:rsid w:val="00AD6356"/>
    <w:rsid w:val="00AD7F95"/>
    <w:rsid w:val="00AE12B8"/>
    <w:rsid w:val="00AE1454"/>
    <w:rsid w:val="00AE1E55"/>
    <w:rsid w:val="00AF3753"/>
    <w:rsid w:val="00AF57E1"/>
    <w:rsid w:val="00AF7A76"/>
    <w:rsid w:val="00B03FA1"/>
    <w:rsid w:val="00B063D5"/>
    <w:rsid w:val="00B11981"/>
    <w:rsid w:val="00B14564"/>
    <w:rsid w:val="00B150F1"/>
    <w:rsid w:val="00B1706B"/>
    <w:rsid w:val="00B241DC"/>
    <w:rsid w:val="00B24922"/>
    <w:rsid w:val="00B327C8"/>
    <w:rsid w:val="00B33C17"/>
    <w:rsid w:val="00B35ADB"/>
    <w:rsid w:val="00B370B4"/>
    <w:rsid w:val="00B37501"/>
    <w:rsid w:val="00B44E28"/>
    <w:rsid w:val="00B525C6"/>
    <w:rsid w:val="00B61130"/>
    <w:rsid w:val="00B614A1"/>
    <w:rsid w:val="00B73A28"/>
    <w:rsid w:val="00B82A11"/>
    <w:rsid w:val="00B84802"/>
    <w:rsid w:val="00B87216"/>
    <w:rsid w:val="00B9241E"/>
    <w:rsid w:val="00B94AEF"/>
    <w:rsid w:val="00BA4EC0"/>
    <w:rsid w:val="00BA5B48"/>
    <w:rsid w:val="00BB3C0B"/>
    <w:rsid w:val="00BB6FB7"/>
    <w:rsid w:val="00BB71AE"/>
    <w:rsid w:val="00BD1960"/>
    <w:rsid w:val="00BE14A9"/>
    <w:rsid w:val="00BE47E8"/>
    <w:rsid w:val="00BF58A4"/>
    <w:rsid w:val="00BF69EA"/>
    <w:rsid w:val="00C01288"/>
    <w:rsid w:val="00C01AFF"/>
    <w:rsid w:val="00C15924"/>
    <w:rsid w:val="00C20EC9"/>
    <w:rsid w:val="00C266D2"/>
    <w:rsid w:val="00C26BC0"/>
    <w:rsid w:val="00C31ECE"/>
    <w:rsid w:val="00C34F82"/>
    <w:rsid w:val="00C4111F"/>
    <w:rsid w:val="00C5180B"/>
    <w:rsid w:val="00C545CE"/>
    <w:rsid w:val="00C5521A"/>
    <w:rsid w:val="00C57574"/>
    <w:rsid w:val="00C659B4"/>
    <w:rsid w:val="00C66EDA"/>
    <w:rsid w:val="00C71261"/>
    <w:rsid w:val="00C85446"/>
    <w:rsid w:val="00C903FE"/>
    <w:rsid w:val="00C90E8C"/>
    <w:rsid w:val="00CA4D41"/>
    <w:rsid w:val="00CA5928"/>
    <w:rsid w:val="00CB049A"/>
    <w:rsid w:val="00CB1ED8"/>
    <w:rsid w:val="00CB751C"/>
    <w:rsid w:val="00CC02F5"/>
    <w:rsid w:val="00CC2FE6"/>
    <w:rsid w:val="00CD6F3B"/>
    <w:rsid w:val="00CE1482"/>
    <w:rsid w:val="00CE55F6"/>
    <w:rsid w:val="00CF249D"/>
    <w:rsid w:val="00CF62DA"/>
    <w:rsid w:val="00D007CE"/>
    <w:rsid w:val="00D01106"/>
    <w:rsid w:val="00D07C35"/>
    <w:rsid w:val="00D143B3"/>
    <w:rsid w:val="00D16C12"/>
    <w:rsid w:val="00D224E4"/>
    <w:rsid w:val="00D3006E"/>
    <w:rsid w:val="00D327EC"/>
    <w:rsid w:val="00D3615F"/>
    <w:rsid w:val="00D402BA"/>
    <w:rsid w:val="00D408D0"/>
    <w:rsid w:val="00D55E8C"/>
    <w:rsid w:val="00D71D4B"/>
    <w:rsid w:val="00D74ED6"/>
    <w:rsid w:val="00D80592"/>
    <w:rsid w:val="00D81AB8"/>
    <w:rsid w:val="00D85E50"/>
    <w:rsid w:val="00D92ED1"/>
    <w:rsid w:val="00DA5B01"/>
    <w:rsid w:val="00DB2D9A"/>
    <w:rsid w:val="00DD4792"/>
    <w:rsid w:val="00DD6A30"/>
    <w:rsid w:val="00DE6385"/>
    <w:rsid w:val="00DE791B"/>
    <w:rsid w:val="00DF15BD"/>
    <w:rsid w:val="00DF7356"/>
    <w:rsid w:val="00E02AE9"/>
    <w:rsid w:val="00E049C8"/>
    <w:rsid w:val="00E129F8"/>
    <w:rsid w:val="00E144BB"/>
    <w:rsid w:val="00E27EE9"/>
    <w:rsid w:val="00E30DEB"/>
    <w:rsid w:val="00E33EFE"/>
    <w:rsid w:val="00E34D6A"/>
    <w:rsid w:val="00E430A6"/>
    <w:rsid w:val="00E46A26"/>
    <w:rsid w:val="00E505E0"/>
    <w:rsid w:val="00E61CED"/>
    <w:rsid w:val="00E75B2F"/>
    <w:rsid w:val="00E77119"/>
    <w:rsid w:val="00E955CC"/>
    <w:rsid w:val="00EA2A2D"/>
    <w:rsid w:val="00EA3634"/>
    <w:rsid w:val="00EA5CDF"/>
    <w:rsid w:val="00EA6B80"/>
    <w:rsid w:val="00EB156E"/>
    <w:rsid w:val="00EB574D"/>
    <w:rsid w:val="00EB6DFA"/>
    <w:rsid w:val="00EC0133"/>
    <w:rsid w:val="00EC36EB"/>
    <w:rsid w:val="00EC7A79"/>
    <w:rsid w:val="00ED3C09"/>
    <w:rsid w:val="00EE1E1E"/>
    <w:rsid w:val="00EE29F0"/>
    <w:rsid w:val="00EE36F3"/>
    <w:rsid w:val="00EE520B"/>
    <w:rsid w:val="00EE69DD"/>
    <w:rsid w:val="00EF5BC8"/>
    <w:rsid w:val="00F005E2"/>
    <w:rsid w:val="00F03C4E"/>
    <w:rsid w:val="00F10FD7"/>
    <w:rsid w:val="00F16F75"/>
    <w:rsid w:val="00F201F4"/>
    <w:rsid w:val="00F21D92"/>
    <w:rsid w:val="00F32657"/>
    <w:rsid w:val="00F36247"/>
    <w:rsid w:val="00F405D0"/>
    <w:rsid w:val="00F4072A"/>
    <w:rsid w:val="00F416D6"/>
    <w:rsid w:val="00F424E1"/>
    <w:rsid w:val="00F45FB3"/>
    <w:rsid w:val="00F50CE9"/>
    <w:rsid w:val="00F52218"/>
    <w:rsid w:val="00F53245"/>
    <w:rsid w:val="00F5552D"/>
    <w:rsid w:val="00F61D32"/>
    <w:rsid w:val="00F622F9"/>
    <w:rsid w:val="00F62A8B"/>
    <w:rsid w:val="00F6439F"/>
    <w:rsid w:val="00F7441C"/>
    <w:rsid w:val="00F8030E"/>
    <w:rsid w:val="00F8305D"/>
    <w:rsid w:val="00F85E60"/>
    <w:rsid w:val="00F87754"/>
    <w:rsid w:val="00F90543"/>
    <w:rsid w:val="00F9406A"/>
    <w:rsid w:val="00FA48B7"/>
    <w:rsid w:val="00FB3C44"/>
    <w:rsid w:val="00FC6843"/>
    <w:rsid w:val="00FC754C"/>
    <w:rsid w:val="00FD19D2"/>
    <w:rsid w:val="00FE153C"/>
    <w:rsid w:val="00FF083E"/>
    <w:rsid w:val="00FF35CC"/>
    <w:rsid w:val="062B31D0"/>
    <w:rsid w:val="173A5AD6"/>
    <w:rsid w:val="1B4605F0"/>
    <w:rsid w:val="260C0B2B"/>
    <w:rsid w:val="27A32BC7"/>
    <w:rsid w:val="2DAA18DE"/>
    <w:rsid w:val="58F63811"/>
    <w:rsid w:val="5AA76AA2"/>
    <w:rsid w:val="5C063034"/>
    <w:rsid w:val="61D31497"/>
    <w:rsid w:val="64372B13"/>
    <w:rsid w:val="694B616D"/>
    <w:rsid w:val="73CF7E54"/>
    <w:rsid w:val="74E46CCC"/>
    <w:rsid w:val="77031DCE"/>
    <w:rsid w:val="79351ADD"/>
    <w:rsid w:val="7C2A2E39"/>
    <w:rsid w:val="7D192852"/>
    <w:rsid w:val="7EA84D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rules v:ext="edit">
        <o:r id="V:Rule1" type="connector" idref="#Straight Connector 87"/>
        <o:r id="V:Rule2" type="connector" idref="#Straight Connector 91"/>
        <o:r id="V:Rule3" type="connector" idref="#Straight Connector 93"/>
        <o:r id="V:Rule4" type="connector" idref="#Straight Connector 94"/>
        <o:r id="V:Rule5" type="connector" idref="#Straight Connector 89"/>
        <o:r id="V:Rule6" type="connector" idref="#Straight Connector 92"/>
        <o:r id="V:Rule7" type="connector" idref="#Straight Connector 95"/>
        <o:r id="V:Rule8" type="connector" idref="#Straight Connector 96"/>
        <o:r id="V:Rule9" type="connector" idref="#Straight Connector 90"/>
        <o:r id="V:Rule10" type="connector" idref="#Straight Connector 88"/>
        <o:r id="V:Rule11" type="connector" idref="#Straight Connector 9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Body Text"/>
    <w:basedOn w:val="1"/>
    <w:unhideWhenUsed/>
    <w:qFormat/>
    <w:uiPriority w:val="99"/>
    <w:pPr>
      <w:ind w:left="1360"/>
    </w:pPr>
    <w:rPr>
      <w:sz w:val="30"/>
      <w:szCs w:val="30"/>
    </w:rPr>
  </w:style>
  <w:style w:type="paragraph" w:styleId="4">
    <w:name w:val="Balloon Text"/>
    <w:basedOn w:val="1"/>
    <w:link w:val="16"/>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u w:val="single"/>
    </w:rPr>
  </w:style>
  <w:style w:type="paragraph" w:customStyle="1" w:styleId="11">
    <w:name w:val="List Paragraph"/>
    <w:basedOn w:val="1"/>
    <w:qFormat/>
    <w:uiPriority w:val="34"/>
    <w:pPr>
      <w:ind w:firstLine="420" w:firstLineChars="200"/>
    </w:pPr>
  </w:style>
  <w:style w:type="paragraph" w:customStyle="1" w:styleId="12">
    <w:name w:val="Revision"/>
    <w:hidden/>
    <w:semiHidden/>
    <w:qFormat/>
    <w:uiPriority w:val="99"/>
    <w:rPr>
      <w:rFonts w:ascii="Calibri" w:hAnsi="Calibri" w:eastAsia="宋体" w:cs="黑体"/>
      <w:kern w:val="2"/>
      <w:sz w:val="21"/>
      <w:szCs w:val="22"/>
      <w:lang w:val="en-US" w:eastAsia="zh-CN" w:bidi="ar-SA"/>
    </w:rPr>
  </w:style>
  <w:style w:type="paragraph" w:customStyle="1" w:styleId="13">
    <w:name w:val="Heading 1"/>
    <w:basedOn w:val="1"/>
    <w:qFormat/>
    <w:uiPriority w:val="1"/>
    <w:pPr>
      <w:spacing w:line="541" w:lineRule="exact"/>
      <w:ind w:left="1919" w:right="2017"/>
      <w:jc w:val="center"/>
      <w:outlineLvl w:val="1"/>
    </w:pPr>
    <w:rPr>
      <w:rFonts w:ascii="Noto Sans Mono CJK JP Regular" w:hAnsi="Noto Sans Mono CJK JP Regular" w:eastAsia="Noto Sans Mono CJK JP Regular" w:cs="Noto Sans Mono CJK JP Regular"/>
      <w:sz w:val="36"/>
      <w:szCs w:val="36"/>
    </w:rPr>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 w:type="character" w:customStyle="1" w:styleId="16">
    <w:name w:val="批注框文本 Char"/>
    <w:basedOn w:val="9"/>
    <w:link w:val="4"/>
    <w:semiHidden/>
    <w:qFormat/>
    <w:uiPriority w:val="99"/>
    <w:rPr>
      <w:sz w:val="18"/>
      <w:szCs w:val="18"/>
    </w:rPr>
  </w:style>
  <w:style w:type="character" w:customStyle="1" w:styleId="17">
    <w:name w:val="mini-outputtext"/>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2898</Words>
  <Characters>3126</Characters>
  <Lines>33</Lines>
  <Paragraphs>9</Paragraphs>
  <TotalTime>1</TotalTime>
  <ScaleCrop>false</ScaleCrop>
  <LinksUpToDate>false</LinksUpToDate>
  <CharactersWithSpaces>3319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2020-04-22T08:12:00Z</dcterms:created>
  <dc:creator>吴</dc:creator>
  <cp:lastModifiedBy>丁蒙/办公室/南宁/PBC</cp:lastModifiedBy>
  <cp:lastPrinted>2020-05-08T08:38:00Z</cp:lastPrinted>
  <dcterms:modified xsi:type="dcterms:W3CDTF">2023-08-30T09:19:18Z</dcterms:modified>
  <dc:title>编号：57001-1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62ACD08CE1F7476EB27B646AB2FC21F9_12</vt:lpwstr>
  </property>
</Properties>
</file>