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中国人民银行桂林市中心支行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7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年政府信息公开工作年度报告</w:t>
      </w:r>
    </w:p>
    <w:p>
      <w:pPr>
        <w:rPr>
          <w:rFonts w:ascii="宋体" w:cs="Times New Roman"/>
          <w:sz w:val="28"/>
          <w:szCs w:val="28"/>
        </w:rPr>
      </w:pP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根据《中华人民共和国政府信息公开条例》（以下简称《条例》），特公布中国人民银行桂林市中心支行（以下简称“桂林市中支”）201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政府信息公开工作年度报告。本报告由本年度政府信息公开工作的基本情况、主动公开政府信息情况、信息公开方式、依申请公开政府信息情况、政府信息公开的收费及减免情况、因政府信息公开申请行政复议、提起行政诉讼的情况等部分组成。本报告中数据的统计期限自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年1月1日起至201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年12月31日止。</w:t>
      </w:r>
    </w:p>
    <w:p>
      <w:pPr>
        <w:widowControl w:val="0"/>
        <w:wordWrap/>
        <w:adjustRightInd/>
        <w:snapToGrid/>
        <w:spacing w:line="560" w:lineRule="exact"/>
        <w:ind w:right="0" w:firstLine="56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一、本年度政府信息公开工作的基本情况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（一）政府信息公开工作机构和人员设置。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桂林市中支政府信息公开工作机构设在办公室，工作人员2名。</w:t>
      </w: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（二）健全制度，完善机制，夯实政府信息公开工作基础。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年，按照《条例》的要求，桂林市中支高度重视政府信息公开工作，紧密结合自身履职实际，完善制度、强化措施，进一步推进政府信息公开工作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0"/>
          <w:szCs w:val="30"/>
        </w:rPr>
        <w:t>开展。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加强组织领导和机构队伍建设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中国人民银行桂林市中心支行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常设</w:t>
      </w:r>
      <w:r>
        <w:rPr>
          <w:rFonts w:hint="eastAsia" w:ascii="仿宋_GB2312" w:hAnsi="仿宋_GB2312" w:eastAsia="仿宋_GB2312" w:cs="仿宋_GB2312"/>
          <w:sz w:val="30"/>
          <w:szCs w:val="30"/>
        </w:rPr>
        <w:t>政务公开领导小组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指挥日常的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信息公开工作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。并把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eastAsia="zh-CN"/>
        </w:rPr>
        <w:t>政府信息公开工作纳入重要议事日程，与全行中心工作紧密结合，同步部署、同步推进。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是严格执行信息公开审查机制、程序及档案管理制度。明确对于涉及国家秘密、商业秘密、个人隐私的金融信息，与行政执法有关，公开后会影响检查、调查、取证等执法活动或者会威胁个人、单位安全的事项等金融信息不予公开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三是进一步强化监督检查。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首先，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分管领导不定期到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窗口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部门检查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质量情况，听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反映意见或建议；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其次，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0"/>
          <w:szCs w:val="30"/>
        </w:rPr>
        <w:t>纪检、法律、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行政执法</w:t>
      </w:r>
      <w:r>
        <w:rPr>
          <w:rFonts w:hint="eastAsia" w:ascii="仿宋_GB2312" w:hAnsi="仿宋_GB2312" w:eastAsia="仿宋_GB2312" w:cs="仿宋_GB2312"/>
          <w:sz w:val="30"/>
          <w:szCs w:val="30"/>
        </w:rPr>
        <w:t>等部门的协调配合，及时开展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0"/>
          <w:szCs w:val="30"/>
        </w:rPr>
        <w:t>政务公开工作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的检查</w:t>
      </w:r>
      <w:r>
        <w:rPr>
          <w:rFonts w:hint="eastAsia" w:ascii="仿宋_GB2312" w:hAnsi="仿宋_GB2312" w:eastAsia="仿宋_GB2312" w:cs="仿宋_GB2312"/>
          <w:sz w:val="30"/>
          <w:szCs w:val="30"/>
        </w:rPr>
        <w:t>，有效促进政府信息公开工作的落实。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四是严格按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会计制度进行财务收支、</w:t>
      </w:r>
      <w:r>
        <w:rPr>
          <w:rFonts w:hint="eastAsia" w:ascii="仿宋_GB2312" w:hAnsi="仿宋_GB2312" w:eastAsia="仿宋_GB2312" w:cs="仿宋_GB2312"/>
          <w:sz w:val="30"/>
          <w:szCs w:val="30"/>
        </w:rPr>
        <w:t>招投标制度进行集中采购。行政管理方面按照《桂林市中支授权管理办法》、《桂林市中支行政处罚委员会议事规程》等制度运行，以便行政权力公开透明。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（三）贯彻与落实政务信息公开工作部署。</w:t>
      </w:r>
    </w:p>
    <w:p>
      <w:pPr>
        <w:widowControl w:val="0"/>
        <w:wordWrap/>
        <w:adjustRightInd/>
        <w:snapToGrid/>
        <w:spacing w:line="560" w:lineRule="exact"/>
        <w:ind w:right="0" w:firstLine="5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根据《中国人民银行办公厅关于开展互联网网站安全专项整治工作的通知》（银办发〔2015〕255号）要求，桂林市中心支行梳理了目前已有网站，按照“同一单位统一建设”的原则，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申请撤销</w:t>
      </w:r>
      <w:r>
        <w:rPr>
          <w:rFonts w:hint="eastAsia" w:ascii="仿宋_GB2312" w:hAnsi="仿宋_GB2312" w:eastAsia="仿宋_GB2312" w:cs="仿宋_GB2312"/>
          <w:sz w:val="30"/>
          <w:szCs w:val="30"/>
        </w:rPr>
        <w:t>了原来在区政府及市政府相关的政务公开网站上建立的网页。</w:t>
      </w:r>
    </w:p>
    <w:p>
      <w:pPr>
        <w:widowControl w:val="0"/>
        <w:wordWrap/>
        <w:adjustRightInd/>
        <w:snapToGrid/>
        <w:spacing w:line="560" w:lineRule="exact"/>
        <w:ind w:right="0" w:firstLine="56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深化推进政务公开，提高依法执政水平的工作要求，桂林市中心支行结合工作实际，强化金融宣传工作。全年组织开展了“3·15金融消费者权益日”、“金融知识普及月”、征信知识、反洗钱、反假货币、12.4等宣传活动。</w:t>
      </w:r>
    </w:p>
    <w:p>
      <w:pPr>
        <w:widowControl w:val="0"/>
        <w:wordWrap/>
        <w:adjustRightInd/>
        <w:snapToGrid/>
        <w:spacing w:line="560" w:lineRule="exact"/>
        <w:ind w:right="0" w:firstLine="56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二、主动公开政府信息情况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年，桂林市中支信息公开的主要内容包括：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1.桂林市中支机构与职能：包括桂林市中心支行简介、机构设置、主要职能、行领导分工、联系方式、办事指南等内容。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2.桂林市中支发布的金融法规、货币信贷、金融服务等文件。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3.桂林市中支实施的行政许可项目。包括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人民币</w:t>
      </w:r>
      <w:r>
        <w:rPr>
          <w:rFonts w:hint="eastAsia" w:ascii="仿宋_GB2312" w:hAnsi="仿宋_GB2312" w:eastAsia="仿宋_GB2312" w:cs="仿宋_GB2312"/>
          <w:sz w:val="30"/>
          <w:szCs w:val="30"/>
        </w:rPr>
        <w:t>账户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、商业银行、信用社代理、外汇管理业务行政许可项目、审批流程、外汇业务办理指南等内容。</w:t>
      </w:r>
    </w:p>
    <w:p>
      <w:pPr>
        <w:widowControl w:val="0"/>
        <w:wordWrap/>
        <w:adjustRightInd/>
        <w:snapToGrid/>
        <w:spacing w:line="560" w:lineRule="exact"/>
        <w:ind w:right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4.可公布的统计及数据报告、便民服务方式等内容。</w:t>
      </w:r>
    </w:p>
    <w:p>
      <w:pPr>
        <w:widowControl w:val="0"/>
        <w:wordWrap/>
        <w:adjustRightInd/>
        <w:snapToGrid/>
        <w:spacing w:line="560" w:lineRule="exact"/>
        <w:ind w:right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信息公开方式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人民银行网站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桂林市中支一楼大厅的触摸屏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桂林市中支一楼大厅的宣传栏和电梯口大屏幕（不定期）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街头、社区宣传。</w:t>
      </w:r>
    </w:p>
    <w:p>
      <w:pPr>
        <w:widowControl w:val="0"/>
        <w:wordWrap/>
        <w:adjustRightInd/>
        <w:snapToGrid/>
        <w:spacing w:line="560" w:lineRule="exact"/>
        <w:ind w:left="210" w:leftChars="100" w:right="0" w:firstLine="422" w:firstLineChars="15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四、依申请公开政府信息情况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和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不予公开政府信息情况</w:t>
      </w:r>
    </w:p>
    <w:p>
      <w:pPr>
        <w:widowControl w:val="0"/>
        <w:wordWrap/>
        <w:adjustRightInd/>
        <w:snapToGrid/>
        <w:spacing w:line="560" w:lineRule="exact"/>
        <w:ind w:left="210" w:leftChars="100" w:right="0" w:firstLine="420" w:firstLineChars="15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（一）申请情况。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年桂林市中支没有接到依申请公开事项。</w:t>
      </w: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 （二）申请处理情况。</w:t>
      </w: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年桂林市中支无依申请公开事项。</w:t>
      </w:r>
    </w:p>
    <w:p>
      <w:pPr>
        <w:widowControl w:val="0"/>
        <w:wordWrap/>
        <w:adjustRightInd/>
        <w:snapToGrid/>
        <w:spacing w:line="560" w:lineRule="exact"/>
        <w:ind w:right="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（三）不予公开政府信息情况。</w:t>
      </w:r>
      <w:r>
        <w:rPr>
          <w:rFonts w:hint="eastAsia" w:ascii="仿宋_GB2312" w:hAnsi="仿宋_GB2312" w:eastAsia="仿宋_GB2312" w:cs="仿宋_GB2312"/>
          <w:sz w:val="30"/>
          <w:szCs w:val="30"/>
        </w:rPr>
        <w:t>桂林市中支建立了信息公开审查机制和程序，明确对于涉及国家秘密、商业秘密、个人隐私的金融信息，与行政执法有关，公开后会影响检查、调查、取证等执法活动或者会威胁个人、单位安全的事项等金融信息不予公开。</w:t>
      </w:r>
    </w:p>
    <w:p>
      <w:pPr>
        <w:widowControl w:val="0"/>
        <w:wordWrap/>
        <w:adjustRightInd/>
        <w:snapToGrid/>
        <w:spacing w:line="560" w:lineRule="exact"/>
        <w:ind w:left="210" w:leftChars="100" w:right="0" w:firstLine="422" w:firstLineChars="15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五、政府信息公开的收费及减免情况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年，桂林市中支提供的公开政府信息未收取任何费用。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六、因政府信息公开申请行政复议、提起行政诉讼的情况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年，桂林市中支尚未接到因政府信息公开引起的行政复议、诉讼和申诉案件。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七、政府信息公开工作存在的主要问题及改进情况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年，桂林市中支政府信息公开工作取得了一些成效，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0"/>
          <w:szCs w:val="30"/>
        </w:rPr>
        <w:t>尚有不足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：一是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政务公开的呈现形式比较单一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二是信息工作的及时性还有待进一步加强；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是信息公开的全面性还有待提升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仿宋_GB2312" w:hAnsi="仿宋_GB2312" w:eastAsia="仿宋_GB2312" w:cs="仿宋_GB2312"/>
          <w:color w:val="3E3E3E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年，桂林市中支将从以下方面改进政府信息公开工作。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</w:rPr>
        <w:t>一是</w:t>
      </w:r>
      <w:r>
        <w:rPr>
          <w:rFonts w:hint="eastAsia" w:ascii="仿宋_GB2312" w:hAnsi="仿宋_GB2312" w:eastAsia="仿宋_GB2312" w:cs="仿宋_GB2312"/>
          <w:sz w:val="30"/>
          <w:szCs w:val="30"/>
        </w:rPr>
        <w:t>积极探索符合人民银行业务特点的政务公开方式和方法，不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断丰富政府信息公开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形式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</w:rPr>
        <w:t>围绕公众和市场广泛关注、事关群众切身利益的重大事项，进一步拓展主动公开广度和深度。同时，加强金融政策解读，努力做到让社会公众一看就明白，增强公开实效。二是加大宣传和培训力度，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eastAsia="zh-CN"/>
        </w:rPr>
        <w:t>举办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</w:rPr>
        <w:t>培训班、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eastAsia="zh-CN"/>
        </w:rPr>
        <w:t>走出去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</w:rPr>
        <w:t>学习交流等方式，提高政府信息公开工作的水平和能力。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黑体" w:hAnsi="黑体" w:eastAsia="黑体" w:cs="黑体"/>
          <w:color w:val="3E3E3E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3E3E3E"/>
          <w:sz w:val="30"/>
          <w:szCs w:val="30"/>
          <w:lang w:eastAsia="zh-CN"/>
        </w:rPr>
        <w:t>八、其他需要报告的事项</w:t>
      </w:r>
    </w:p>
    <w:p>
      <w:pPr>
        <w:widowControl w:val="0"/>
        <w:wordWrap/>
        <w:adjustRightInd/>
        <w:snapToGrid/>
        <w:spacing w:line="560" w:lineRule="exact"/>
        <w:ind w:right="0" w:firstLine="576"/>
        <w:textAlignment w:val="auto"/>
        <w:outlineLvl w:val="9"/>
        <w:rPr>
          <w:rFonts w:hint="eastAsia" w:ascii="仿宋_GB2312" w:hAnsi="仿宋_GB2312" w:eastAsia="仿宋_GB2312" w:cs="仿宋_GB2312"/>
          <w:color w:val="3E3E3E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val="en-US" w:eastAsia="zh-CN"/>
        </w:rPr>
        <w:t>2017年，桂林市中支无其他需要报告的事项。</w:t>
      </w:r>
    </w:p>
    <w:p>
      <w:pPr>
        <w:ind w:firstLine="576"/>
        <w:rPr>
          <w:rFonts w:hint="eastAsia" w:ascii="仿宋_GB2312" w:hAnsi="仿宋_GB2312" w:eastAsia="仿宋_GB2312" w:cs="仿宋_GB2312"/>
          <w:color w:val="3E3E3E"/>
          <w:sz w:val="30"/>
          <w:szCs w:val="30"/>
        </w:rPr>
      </w:pPr>
    </w:p>
    <w:p>
      <w:pPr>
        <w:ind w:firstLine="576"/>
        <w:rPr>
          <w:rFonts w:hint="eastAsia" w:ascii="仿宋_GB2312" w:hAnsi="仿宋_GB2312" w:eastAsia="仿宋_GB2312" w:cs="仿宋_GB2312"/>
          <w:color w:val="3E3E3E"/>
          <w:sz w:val="30"/>
          <w:szCs w:val="30"/>
        </w:rPr>
      </w:pPr>
    </w:p>
    <w:p>
      <w:pPr>
        <w:ind w:firstLine="576"/>
        <w:rPr>
          <w:rFonts w:hint="eastAsia" w:ascii="仿宋_GB2312" w:hAnsi="仿宋_GB2312" w:eastAsia="仿宋_GB2312" w:cs="仿宋_GB2312"/>
          <w:color w:val="3E3E3E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eastAsia="zh-CN"/>
        </w:rPr>
        <w:t>中国人民银行桂林市中心支行</w:t>
      </w:r>
    </w:p>
    <w:p>
      <w:pPr>
        <w:ind w:firstLine="576"/>
        <w:rPr>
          <w:rFonts w:hint="eastAsia" w:ascii="仿宋_GB2312" w:hAnsi="仿宋_GB2312" w:eastAsia="仿宋_GB2312" w:cs="仿宋_GB2312"/>
          <w:color w:val="3E3E3E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E3E3E"/>
          <w:sz w:val="30"/>
          <w:szCs w:val="30"/>
          <w:lang w:val="en-US" w:eastAsia="zh-CN"/>
        </w:rPr>
        <w:t xml:space="preserve">                           2018年1月25日</w:t>
      </w:r>
    </w:p>
    <w:p>
      <w:pPr>
        <w:jc w:val="right"/>
        <w:rPr>
          <w:rFonts w:ascii="宋体" w:cs="Times New Roman"/>
          <w:sz w:val="28"/>
          <w:szCs w:val="28"/>
        </w:rPr>
      </w:pPr>
    </w:p>
    <w:p>
      <w:pPr>
        <w:jc w:val="right"/>
        <w:rPr>
          <w:rFonts w:ascii="宋体" w:cs="Times New Roman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right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0B25"/>
    <w:rsid w:val="00032F99"/>
    <w:rsid w:val="0006375B"/>
    <w:rsid w:val="00072B1B"/>
    <w:rsid w:val="00093880"/>
    <w:rsid w:val="000E5CE1"/>
    <w:rsid w:val="001757A3"/>
    <w:rsid w:val="00187EFF"/>
    <w:rsid w:val="001E1028"/>
    <w:rsid w:val="001E300C"/>
    <w:rsid w:val="00207450"/>
    <w:rsid w:val="00247E3B"/>
    <w:rsid w:val="00263787"/>
    <w:rsid w:val="002D1F58"/>
    <w:rsid w:val="002D259C"/>
    <w:rsid w:val="002D4FFA"/>
    <w:rsid w:val="002E113A"/>
    <w:rsid w:val="002F6B92"/>
    <w:rsid w:val="00307D72"/>
    <w:rsid w:val="00350358"/>
    <w:rsid w:val="003D3B4D"/>
    <w:rsid w:val="00461681"/>
    <w:rsid w:val="0048596D"/>
    <w:rsid w:val="0048598D"/>
    <w:rsid w:val="00552C2E"/>
    <w:rsid w:val="005D1312"/>
    <w:rsid w:val="0066019E"/>
    <w:rsid w:val="00665C5E"/>
    <w:rsid w:val="007142ED"/>
    <w:rsid w:val="00741492"/>
    <w:rsid w:val="00793887"/>
    <w:rsid w:val="00795A84"/>
    <w:rsid w:val="007C56A9"/>
    <w:rsid w:val="007D64AC"/>
    <w:rsid w:val="007F4F43"/>
    <w:rsid w:val="008403CE"/>
    <w:rsid w:val="00867546"/>
    <w:rsid w:val="0092205D"/>
    <w:rsid w:val="00951C27"/>
    <w:rsid w:val="00952A80"/>
    <w:rsid w:val="00963ABD"/>
    <w:rsid w:val="00972730"/>
    <w:rsid w:val="00973F1C"/>
    <w:rsid w:val="00994B2C"/>
    <w:rsid w:val="009E30E6"/>
    <w:rsid w:val="00A27290"/>
    <w:rsid w:val="00A56E67"/>
    <w:rsid w:val="00B16B21"/>
    <w:rsid w:val="00B239B9"/>
    <w:rsid w:val="00B42B17"/>
    <w:rsid w:val="00B43D6D"/>
    <w:rsid w:val="00BA4734"/>
    <w:rsid w:val="00BC121A"/>
    <w:rsid w:val="00BD2285"/>
    <w:rsid w:val="00BD40B8"/>
    <w:rsid w:val="00C31F81"/>
    <w:rsid w:val="00C62F54"/>
    <w:rsid w:val="00C7178F"/>
    <w:rsid w:val="00CA307D"/>
    <w:rsid w:val="00CC0BF0"/>
    <w:rsid w:val="00D4135F"/>
    <w:rsid w:val="00DD7C22"/>
    <w:rsid w:val="00E32F9D"/>
    <w:rsid w:val="00E54C37"/>
    <w:rsid w:val="00E70FA4"/>
    <w:rsid w:val="00EA3D67"/>
    <w:rsid w:val="00EC0B25"/>
    <w:rsid w:val="00F0457E"/>
    <w:rsid w:val="00F51214"/>
    <w:rsid w:val="00F54593"/>
    <w:rsid w:val="00F94B70"/>
    <w:rsid w:val="00FA68F8"/>
    <w:rsid w:val="00FC72F4"/>
    <w:rsid w:val="00FE63B5"/>
    <w:rsid w:val="05CB1442"/>
    <w:rsid w:val="0D9E554B"/>
    <w:rsid w:val="119D52FB"/>
    <w:rsid w:val="15735DE4"/>
    <w:rsid w:val="221771FF"/>
    <w:rsid w:val="2EF97199"/>
    <w:rsid w:val="36E2728E"/>
    <w:rsid w:val="380E659A"/>
    <w:rsid w:val="395E1D18"/>
    <w:rsid w:val="3F1C0472"/>
    <w:rsid w:val="41801C6B"/>
    <w:rsid w:val="439B7283"/>
    <w:rsid w:val="50056C77"/>
    <w:rsid w:val="5E371958"/>
    <w:rsid w:val="7500631F"/>
    <w:rsid w:val="7FCB33EE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iPriority="0" w:semiHidden="0" w:name="header" w:locked="1"/>
    <w:lsdException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semiHidden="0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uiPriority w:val="99"/>
    <w:rPr>
      <w:rFonts w:ascii="Verdana" w:hAnsi="Verdana" w:cs="Verdana"/>
      <w:kern w:val="0"/>
      <w:sz w:val="20"/>
      <w:szCs w:val="20"/>
      <w:lang w:eastAsia="en-US"/>
    </w:rPr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1"/>
    <w:link w:val="4"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6">
    <w:name w:val="page number"/>
    <w:basedOn w:val="4"/>
    <w:uiPriority w:val="99"/>
    <w:rPr/>
  </w:style>
  <w:style w:type="paragraph" w:customStyle="1" w:styleId="8">
    <w:name w:val="Default Paragraph Font Para Char"/>
    <w:basedOn w:val="1"/>
    <w:uiPriority w:val="99"/>
    <w:pPr>
      <w:widowControl/>
      <w:spacing w:after="160" w:line="240" w:lineRule="exact"/>
      <w:ind w:firstLine="200" w:firstLineChars="200"/>
      <w:jc w:val="left"/>
    </w:pPr>
    <w:rPr>
      <w:rFonts w:ascii="Verdana" w:hAnsi="Verdana" w:cs="Verdana"/>
      <w:kern w:val="0"/>
      <w:sz w:val="24"/>
      <w:szCs w:val="24"/>
      <w:lang w:eastAsia="en-US"/>
    </w:rPr>
  </w:style>
  <w:style w:type="character" w:customStyle="1" w:styleId="9">
    <w:name w:val="Footer Char"/>
    <w:basedOn w:val="4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0</Company>
  <Pages>4</Pages>
  <Words>298</Words>
  <Characters>1705</Characters>
  <Lines>0</Lines>
  <Paragraphs>0</Paragraphs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2014-01-09T08:36:00Z</dcterms:created>
  <dc:creator>1</dc:creator>
  <cp:lastModifiedBy>楚孟颖</cp:lastModifiedBy>
  <cp:lastPrinted>2014-01-10T01:42:00Z</cp:lastPrinted>
  <dcterms:modified xsi:type="dcterms:W3CDTF">2018-03-07T08:04:45Z</dcterms:modified>
  <dc:title>中国人民银行桂林市中心支行2015年政府信息公开工作年度报告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